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85C" w:rsidRDefault="001E7144" w:rsidP="001E7144">
      <w:r w:rsidRPr="001E7144">
        <w:rPr>
          <w:b/>
        </w:rPr>
        <w:t>Title:</w:t>
      </w:r>
      <w:r>
        <w:t xml:space="preserve"> </w:t>
      </w:r>
      <w:r w:rsidR="00A6485C">
        <w:t>RTOGov – New York ISO Management Committee Vote Data 2010-2018</w:t>
      </w:r>
    </w:p>
    <w:p w:rsidR="001E7144" w:rsidRDefault="001E7144" w:rsidP="001E7144">
      <w:r w:rsidRPr="001E7144">
        <w:rPr>
          <w:b/>
        </w:rPr>
        <w:t>Creator:</w:t>
      </w:r>
      <w:r>
        <w:t xml:space="preserve"> Blumsack, Dr. Seth - The Pennsylvania State University; Teti, Zachary - The Pennsylvania State University</w:t>
      </w:r>
    </w:p>
    <w:p w:rsidR="00A6485C" w:rsidRDefault="001E7144" w:rsidP="00A6485C">
      <w:r w:rsidRPr="001E7144">
        <w:rPr>
          <w:b/>
        </w:rPr>
        <w:t>Description:</w:t>
      </w:r>
      <w:r>
        <w:t xml:space="preserve"> </w:t>
      </w:r>
      <w:r w:rsidR="00A6485C">
        <w:t xml:space="preserve">Regional Transmission Organization Governance (RTOGov) is a research initiative to evaluate how decisions are made in U.S. electricity markets and whether these governance processes impact real-world outcomes such as price, customer choice, air quality, and innovation. In the New York ISO, the Management Committee (MC) is the senior standing committee involved in this governance process. Amendments to </w:t>
      </w:r>
      <w:r w:rsidR="00340C4D">
        <w:t xml:space="preserve">New York </w:t>
      </w:r>
      <w:r w:rsidR="00A6485C">
        <w:t xml:space="preserve">ISO tariffs requires MC approval and </w:t>
      </w:r>
      <w:r w:rsidR="00340C4D">
        <w:t xml:space="preserve">New York </w:t>
      </w:r>
      <w:r w:rsidR="00A6485C">
        <w:t>ISO Board agreement in order to file to the Federal Energy Regulatory Commission as outlined in the Federal Power Act Section 205. This file organizes the 36 issues voted upon by the stakeholders of the MC from 2010-2018. The vote reports</w:t>
      </w:r>
      <w:r w:rsidR="001E7C6B">
        <w:t xml:space="preserve"> (entitled: Final Motions)</w:t>
      </w:r>
      <w:r w:rsidR="00A6485C">
        <w:t xml:space="preserve"> and presentations were found at the MC web-page: </w:t>
      </w:r>
      <w:hyperlink r:id="rId5" w:history="1">
        <w:r w:rsidR="00FA5820" w:rsidRPr="00D018C1">
          <w:rPr>
            <w:rStyle w:val="Hyperlink"/>
          </w:rPr>
          <w:t>https://www.nyiso.com/management-committee-mc-</w:t>
        </w:r>
      </w:hyperlink>
      <w:r w:rsidR="00A6485C">
        <w:t>.</w:t>
      </w:r>
      <w:r w:rsidR="00FA5820">
        <w:t xml:space="preserve"> Unless otherwise stated, all information in this data set is taken directly from the MC voting reports </w:t>
      </w:r>
      <w:r w:rsidR="00E05FEE">
        <w:t xml:space="preserve">(Final Motions) </w:t>
      </w:r>
      <w:r w:rsidR="00FA5820">
        <w:t>published by New York ISO.</w:t>
      </w:r>
    </w:p>
    <w:p w:rsidR="008D1FAB" w:rsidRDefault="001E7144" w:rsidP="001E7144">
      <w:pPr>
        <w:rPr>
          <w:b/>
        </w:rPr>
      </w:pPr>
      <w:r w:rsidRPr="001E7144">
        <w:rPr>
          <w:b/>
        </w:rPr>
        <w:t xml:space="preserve">'Vote Data - Item Detail' </w:t>
      </w:r>
    </w:p>
    <w:p w:rsidR="00D35F90" w:rsidRDefault="008D1FAB" w:rsidP="00503DCA">
      <w:pPr>
        <w:spacing w:after="0"/>
      </w:pPr>
      <w:bookmarkStart w:id="0" w:name="_Hlk54255248"/>
      <w:r>
        <w:rPr>
          <w:b/>
        </w:rPr>
        <w:t xml:space="preserve">Description: </w:t>
      </w:r>
      <w:r w:rsidR="00D35F90" w:rsidRPr="008D1FAB">
        <w:t>In</w:t>
      </w:r>
      <w:r w:rsidR="00D35F90">
        <w:rPr>
          <w:b/>
        </w:rPr>
        <w:t xml:space="preserve"> </w:t>
      </w:r>
      <w:r w:rsidR="00D35F90">
        <w:t xml:space="preserve">the New York ISO MC, the vote scoring and outcome is determined in a sector-weighted voting procedure. Stakeholders of the MC choose a sector affiliation upon membership. The sectors and weights include </w:t>
      </w:r>
      <w:r w:rsidR="00D35F90">
        <w:rPr>
          <w:rFonts w:eastAsia="Times New Roman" w:cstheme="minorHAnsi"/>
          <w:color w:val="000000"/>
        </w:rPr>
        <w:t>Generation Owners (21.5%)</w:t>
      </w:r>
      <w:r w:rsidR="00D35F90">
        <w:rPr>
          <w:rFonts w:cstheme="minorHAnsi"/>
        </w:rPr>
        <w:t>,</w:t>
      </w:r>
      <w:r w:rsidR="00D35F90">
        <w:rPr>
          <w:rFonts w:eastAsia="Times New Roman" w:cstheme="minorHAnsi"/>
          <w:color w:val="000000"/>
        </w:rPr>
        <w:t xml:space="preserve"> Other Suppliers (21.5%)</w:t>
      </w:r>
      <w:r w:rsidR="00D35F90">
        <w:rPr>
          <w:rFonts w:cstheme="minorHAnsi"/>
        </w:rPr>
        <w:t xml:space="preserve">, </w:t>
      </w:r>
      <w:r w:rsidR="00D35F90">
        <w:rPr>
          <w:rFonts w:eastAsia="Times New Roman" w:cstheme="minorHAnsi"/>
          <w:color w:val="000000"/>
        </w:rPr>
        <w:t>Transmission Owners (20.0%)</w:t>
      </w:r>
      <w:r w:rsidR="00D35F90">
        <w:t xml:space="preserve">, End-Use Consumer (20.0%) and Public Power (17.0%). Additionally, the End-Use Consumer and Public Power sector contain sub-sectors which take the weight of inactive sub-sectors within their sector. </w:t>
      </w:r>
    </w:p>
    <w:p w:rsidR="00D35F90" w:rsidRDefault="00D35F90" w:rsidP="00BE7955">
      <w:pPr>
        <w:spacing w:after="0"/>
        <w:ind w:firstLine="360"/>
      </w:pPr>
      <w:r>
        <w:t>End-Use Consumer:</w:t>
      </w:r>
    </w:p>
    <w:p w:rsidR="00D35F90" w:rsidRPr="006F2377" w:rsidRDefault="00D35F90" w:rsidP="00D35F90">
      <w:pPr>
        <w:pStyle w:val="ListParagraph"/>
        <w:numPr>
          <w:ilvl w:val="0"/>
          <w:numId w:val="4"/>
        </w:numPr>
      </w:pPr>
      <w:r w:rsidRPr="006F2377">
        <w:rPr>
          <w:rFonts w:eastAsia="Times New Roman" w:cstheme="minorHAnsi"/>
          <w:color w:val="000000"/>
        </w:rPr>
        <w:t>Large Consumers</w:t>
      </w:r>
      <w:r>
        <w:rPr>
          <w:rFonts w:eastAsia="Times New Roman" w:cstheme="minorHAnsi"/>
          <w:color w:val="000000"/>
        </w:rPr>
        <w:t xml:space="preserve"> (9%)</w:t>
      </w:r>
    </w:p>
    <w:p w:rsidR="00D35F90" w:rsidRPr="006F2377" w:rsidRDefault="00D35F90" w:rsidP="00D35F90">
      <w:pPr>
        <w:pStyle w:val="ListParagraph"/>
        <w:numPr>
          <w:ilvl w:val="0"/>
          <w:numId w:val="4"/>
        </w:numPr>
      </w:pPr>
      <w:r w:rsidRPr="006F2377">
        <w:rPr>
          <w:rFonts w:eastAsia="Times New Roman" w:cstheme="minorHAnsi"/>
          <w:color w:val="000000"/>
        </w:rPr>
        <w:t>Large Consumer Government Agency</w:t>
      </w:r>
      <w:r>
        <w:rPr>
          <w:rFonts w:eastAsia="Times New Roman" w:cstheme="minorHAnsi"/>
          <w:color w:val="000000"/>
        </w:rPr>
        <w:t xml:space="preserve"> (2%)</w:t>
      </w:r>
    </w:p>
    <w:p w:rsidR="00D35F90" w:rsidRPr="006F2377" w:rsidRDefault="00D35F90" w:rsidP="00D35F90">
      <w:pPr>
        <w:pStyle w:val="ListParagraph"/>
        <w:numPr>
          <w:ilvl w:val="0"/>
          <w:numId w:val="4"/>
        </w:numPr>
      </w:pPr>
      <w:r w:rsidRPr="006F2377">
        <w:rPr>
          <w:rFonts w:eastAsia="Times New Roman" w:cstheme="minorHAnsi"/>
          <w:color w:val="000000"/>
        </w:rPr>
        <w:t>Small Consumers</w:t>
      </w:r>
      <w:r>
        <w:rPr>
          <w:rFonts w:eastAsia="Times New Roman" w:cstheme="minorHAnsi"/>
          <w:color w:val="000000"/>
        </w:rPr>
        <w:t xml:space="preserve"> (4.5%)</w:t>
      </w:r>
    </w:p>
    <w:p w:rsidR="00D35F90" w:rsidRPr="006F2377" w:rsidRDefault="00D35F90" w:rsidP="00D35F90">
      <w:pPr>
        <w:pStyle w:val="ListParagraph"/>
        <w:numPr>
          <w:ilvl w:val="0"/>
          <w:numId w:val="4"/>
        </w:numPr>
      </w:pPr>
      <w:r w:rsidRPr="006F2377">
        <w:rPr>
          <w:rFonts w:eastAsia="Times New Roman" w:cstheme="minorHAnsi"/>
          <w:color w:val="000000"/>
        </w:rPr>
        <w:t>Government State-wide Consumer Advocate</w:t>
      </w:r>
      <w:r>
        <w:rPr>
          <w:rFonts w:eastAsia="Times New Roman" w:cstheme="minorHAnsi"/>
          <w:color w:val="000000"/>
        </w:rPr>
        <w:t xml:space="preserve"> (2.7%)</w:t>
      </w:r>
    </w:p>
    <w:p w:rsidR="00D35F90" w:rsidRPr="006F2377" w:rsidRDefault="00D35F90" w:rsidP="00503DCA">
      <w:pPr>
        <w:pStyle w:val="ListParagraph"/>
        <w:numPr>
          <w:ilvl w:val="0"/>
          <w:numId w:val="4"/>
        </w:numPr>
        <w:spacing w:after="0"/>
      </w:pPr>
      <w:r w:rsidRPr="006F2377">
        <w:rPr>
          <w:rFonts w:eastAsia="Times New Roman" w:cstheme="minorHAnsi"/>
          <w:color w:val="000000"/>
        </w:rPr>
        <w:t>Government Small Consumer &amp; Retail Aggregator</w:t>
      </w:r>
      <w:r>
        <w:rPr>
          <w:rFonts w:eastAsia="Times New Roman" w:cstheme="minorHAnsi"/>
          <w:color w:val="000000"/>
        </w:rPr>
        <w:t xml:space="preserve"> (1.8%)</w:t>
      </w:r>
    </w:p>
    <w:p w:rsidR="00D35F90" w:rsidRDefault="00D35F90" w:rsidP="00BE7955">
      <w:pPr>
        <w:spacing w:after="0"/>
        <w:ind w:firstLine="360"/>
      </w:pPr>
      <w:r>
        <w:t>Public Power:</w:t>
      </w:r>
    </w:p>
    <w:p w:rsidR="00D35F90" w:rsidRPr="006F2377" w:rsidRDefault="00D35F90" w:rsidP="00BE7955">
      <w:pPr>
        <w:pStyle w:val="ListParagraph"/>
        <w:numPr>
          <w:ilvl w:val="0"/>
          <w:numId w:val="5"/>
        </w:numPr>
        <w:spacing w:after="0"/>
      </w:pPr>
      <w:r w:rsidRPr="006F2377">
        <w:rPr>
          <w:rFonts w:eastAsia="Times New Roman" w:cstheme="minorHAnsi"/>
          <w:color w:val="000000"/>
        </w:rPr>
        <w:t>State Power Authorities</w:t>
      </w:r>
      <w:r>
        <w:rPr>
          <w:rFonts w:eastAsia="Times New Roman" w:cstheme="minorHAnsi"/>
          <w:color w:val="000000"/>
        </w:rPr>
        <w:t xml:space="preserve"> (8%)</w:t>
      </w:r>
    </w:p>
    <w:p w:rsidR="00D35F90" w:rsidRPr="006F2377" w:rsidRDefault="00D35F90" w:rsidP="00BE7955">
      <w:pPr>
        <w:pStyle w:val="ListParagraph"/>
        <w:numPr>
          <w:ilvl w:val="0"/>
          <w:numId w:val="5"/>
        </w:numPr>
        <w:spacing w:after="0"/>
      </w:pPr>
      <w:r w:rsidRPr="006F2377">
        <w:rPr>
          <w:rFonts w:eastAsia="Times New Roman" w:cstheme="minorHAnsi"/>
          <w:color w:val="000000"/>
        </w:rPr>
        <w:t>Muni’s and Coops</w:t>
      </w:r>
      <w:r>
        <w:rPr>
          <w:rFonts w:eastAsia="Times New Roman" w:cstheme="minorHAnsi"/>
          <w:color w:val="000000"/>
        </w:rPr>
        <w:t xml:space="preserve"> (7%)</w:t>
      </w:r>
    </w:p>
    <w:p w:rsidR="00D35F90" w:rsidRPr="008D2997" w:rsidRDefault="00D35F90" w:rsidP="00BE7955">
      <w:pPr>
        <w:pStyle w:val="ListParagraph"/>
        <w:numPr>
          <w:ilvl w:val="0"/>
          <w:numId w:val="5"/>
        </w:numPr>
        <w:spacing w:after="0"/>
      </w:pPr>
      <w:r w:rsidRPr="006F2377">
        <w:rPr>
          <w:rFonts w:eastAsia="Times New Roman" w:cstheme="minorHAnsi"/>
          <w:color w:val="000000"/>
        </w:rPr>
        <w:t>Environmental</w:t>
      </w:r>
      <w:r>
        <w:rPr>
          <w:rFonts w:eastAsia="Times New Roman" w:cstheme="minorHAnsi"/>
          <w:color w:val="000000"/>
        </w:rPr>
        <w:t xml:space="preserve"> (2%)</w:t>
      </w:r>
    </w:p>
    <w:p w:rsidR="00D35F90" w:rsidRDefault="00D35F90" w:rsidP="00D35F90">
      <w:r>
        <w:t>If all sectors and sub-sectors are active, k = 11 and the sector weights above are applied to Equations (2) and (3). The below formula roughly reflects the calculation for sector vote weight:</w:t>
      </w:r>
    </w:p>
    <w:p w:rsidR="00D35F90" w:rsidRDefault="004D57C2" w:rsidP="00D35F90">
      <m:oMathPara>
        <m:oMath>
          <m:sSub>
            <m:sSubPr>
              <m:ctrlPr>
                <w:rPr>
                  <w:rFonts w:ascii="Cambria Math" w:hAnsi="Cambria Math"/>
                </w:rPr>
              </m:ctrlPr>
            </m:sSubPr>
            <m:e>
              <m:r>
                <w:rPr>
                  <w:rFonts w:ascii="Cambria Math" w:hAnsi="Cambria Math"/>
                </w:rPr>
                <m:t>w</m:t>
              </m:r>
            </m:e>
            <m:sub>
              <m:r>
                <w:rPr>
                  <w:rFonts w:ascii="Cambria Math" w:hAnsi="Cambria Math"/>
                </w:rPr>
                <m:t>k</m:t>
              </m:r>
            </m:sub>
          </m:sSub>
          <m:r>
            <w:rPr>
              <w:rFonts w:ascii="Cambria Math" w:hAnsi="Cambria Math"/>
            </w:rPr>
            <m:t>=</m:t>
          </m:r>
          <m:r>
            <m:rPr>
              <m:sty m:val="p"/>
            </m:rPr>
            <w:rPr>
              <w:rFonts w:ascii="Cambria Math" w:hAnsi="Cambria Math"/>
            </w:rPr>
            <m:t>(</m:t>
          </m:r>
          <m:r>
            <w:rPr>
              <w:rFonts w:ascii="Cambria Math" w:hAnsi="Cambria Math"/>
            </w:rPr>
            <m:t>1-</m:t>
          </m:r>
          <m:sSub>
            <m:sSubPr>
              <m:ctrlPr>
                <w:rPr>
                  <w:rFonts w:ascii="Cambria Math" w:hAnsi="Cambria Math"/>
                  <w:i/>
                </w:rPr>
              </m:ctrlPr>
            </m:sSubPr>
            <m:e>
              <m:r>
                <w:rPr>
                  <w:rFonts w:ascii="Cambria Math" w:hAnsi="Cambria Math"/>
                </w:rPr>
                <m:t>τ</m:t>
              </m:r>
            </m:e>
            <m:sub>
              <m:r>
                <w:rPr>
                  <w:rFonts w:ascii="Cambria Math" w:hAnsi="Cambria Math"/>
                </w:rPr>
                <m:t>k</m:t>
              </m:r>
            </m:sub>
          </m:sSub>
          <m:r>
            <w:rPr>
              <w:rFonts w:ascii="Cambria Math" w:eastAsiaTheme="minorEastAsia" w:hAnsi="Cambria Math"/>
            </w:rPr>
            <m:t>)(</m:t>
          </m:r>
          <m:sSubSup>
            <m:sSubSupPr>
              <m:ctrlPr>
                <w:rPr>
                  <w:rFonts w:ascii="Cambria Math" w:eastAsiaTheme="minorEastAsia" w:hAnsi="Cambria Math"/>
                  <w:i/>
                </w:rPr>
              </m:ctrlPr>
            </m:sSubSupPr>
            <m:e>
              <m:r>
                <w:rPr>
                  <w:rFonts w:ascii="Cambria Math" w:eastAsiaTheme="minorEastAsia" w:hAnsi="Cambria Math"/>
                </w:rPr>
                <m:t>w</m:t>
              </m:r>
            </m:e>
            <m:sub>
              <m:r>
                <w:rPr>
                  <w:rFonts w:ascii="Cambria Math" w:eastAsiaTheme="minorEastAsia" w:hAnsi="Cambria Math"/>
                </w:rPr>
                <m:t>k</m:t>
              </m:r>
            </m:sub>
            <m:sup>
              <m:r>
                <w:rPr>
                  <w:rFonts w:ascii="Cambria Math" w:eastAsiaTheme="minorEastAsia" w:hAnsi="Cambria Math"/>
                </w:rPr>
                <m:t>base</m:t>
              </m:r>
            </m:sup>
          </m:sSubSup>
          <m:r>
            <w:rPr>
              <w:rFonts w:ascii="Cambria Math" w:eastAsiaTheme="minorEastAsia" w:hAnsi="Cambria Math"/>
            </w:rPr>
            <m:t xml:space="preserve">+ </m:t>
          </m:r>
          <m:f>
            <m:fPr>
              <m:ctrlPr>
                <w:rPr>
                  <w:rFonts w:ascii="Cambria Math" w:hAnsi="Cambria Math"/>
                  <w:i/>
                </w:rPr>
              </m:ctrlPr>
            </m:fPr>
            <m:num>
              <m:nary>
                <m:naryPr>
                  <m:chr m:val="∑"/>
                  <m:limLoc m:val="undOvr"/>
                  <m:supHide m:val="1"/>
                  <m:ctrlPr>
                    <w:rPr>
                      <w:rFonts w:ascii="Cambria Math" w:eastAsiaTheme="minorEastAsia" w:hAnsi="Cambria Math"/>
                      <w:i/>
                    </w:rPr>
                  </m:ctrlPr>
                </m:naryPr>
                <m:sub>
                  <m:r>
                    <w:rPr>
                      <w:rFonts w:ascii="Cambria Math" w:eastAsiaTheme="minorEastAsia" w:hAnsi="Cambria Math"/>
                    </w:rPr>
                    <m:t>k</m:t>
                  </m:r>
                </m:sub>
                <m:sup/>
                <m:e>
                  <m:r>
                    <w:rPr>
                      <w:rFonts w:ascii="Cambria Math" w:eastAsiaTheme="minorEastAsia" w:hAnsi="Cambria Math"/>
                    </w:rPr>
                    <m:t>(</m:t>
                  </m:r>
                  <m:sSub>
                    <m:sSubPr>
                      <m:ctrlPr>
                        <w:rPr>
                          <w:rFonts w:ascii="Cambria Math" w:hAnsi="Cambria Math"/>
                          <w:i/>
                        </w:rPr>
                      </m:ctrlPr>
                    </m:sSubPr>
                    <m:e>
                      <m:r>
                        <w:rPr>
                          <w:rFonts w:ascii="Cambria Math" w:hAnsi="Cambria Math"/>
                        </w:rPr>
                        <m:t>τ</m:t>
                      </m:r>
                    </m:e>
                    <m:sub>
                      <m:r>
                        <w:rPr>
                          <w:rFonts w:ascii="Cambria Math" w:hAnsi="Cambria Math"/>
                        </w:rPr>
                        <m:t>k</m:t>
                      </m:r>
                    </m:sub>
                  </m:sSub>
                  <m:r>
                    <w:rPr>
                      <w:rFonts w:ascii="Cambria Math" w:hAnsi="Cambria Math"/>
                    </w:rPr>
                    <m:t>×</m:t>
                  </m:r>
                  <m:sSubSup>
                    <m:sSubSupPr>
                      <m:ctrlPr>
                        <w:rPr>
                          <w:rFonts w:ascii="Cambria Math" w:eastAsiaTheme="minorEastAsia" w:hAnsi="Cambria Math"/>
                          <w:i/>
                        </w:rPr>
                      </m:ctrlPr>
                    </m:sSubSupPr>
                    <m:e>
                      <m:r>
                        <w:rPr>
                          <w:rFonts w:ascii="Cambria Math" w:eastAsiaTheme="minorEastAsia" w:hAnsi="Cambria Math"/>
                        </w:rPr>
                        <m:t>w</m:t>
                      </m:r>
                    </m:e>
                    <m:sub>
                      <m:r>
                        <w:rPr>
                          <w:rFonts w:ascii="Cambria Math" w:eastAsiaTheme="minorEastAsia" w:hAnsi="Cambria Math"/>
                        </w:rPr>
                        <m:t>k</m:t>
                      </m:r>
                    </m:sub>
                    <m:sup>
                      <m:r>
                        <w:rPr>
                          <w:rFonts w:ascii="Cambria Math" w:eastAsiaTheme="minorEastAsia" w:hAnsi="Cambria Math"/>
                        </w:rPr>
                        <m:t>base</m:t>
                      </m:r>
                    </m:sup>
                  </m:sSubSup>
                  <m:r>
                    <w:rPr>
                      <w:rFonts w:ascii="Cambria Math" w:hAnsi="Cambria Math"/>
                    </w:rPr>
                    <m:t>)</m:t>
                  </m:r>
                </m:e>
              </m:nary>
            </m:num>
            <m:den>
              <m:nary>
                <m:naryPr>
                  <m:chr m:val="∑"/>
                  <m:limLoc m:val="undOvr"/>
                  <m:supHide m:val="1"/>
                  <m:ctrlPr>
                    <w:rPr>
                      <w:rFonts w:ascii="Cambria Math" w:eastAsiaTheme="minorEastAsia" w:hAnsi="Cambria Math"/>
                      <w:i/>
                    </w:rPr>
                  </m:ctrlPr>
                </m:naryPr>
                <m:sub>
                  <m:r>
                    <w:rPr>
                      <w:rFonts w:ascii="Cambria Math" w:eastAsiaTheme="minorEastAsia" w:hAnsi="Cambria Math"/>
                    </w:rPr>
                    <m:t>k</m:t>
                  </m:r>
                </m:sub>
                <m:sup/>
                <m:e>
                  <m:r>
                    <w:rPr>
                      <w:rFonts w:ascii="Cambria Math" w:eastAsiaTheme="minorEastAsia" w:hAnsi="Cambria Math"/>
                    </w:rPr>
                    <m:t>(</m:t>
                  </m:r>
                  <m:r>
                    <w:rPr>
                      <w:rFonts w:ascii="Cambria Math" w:eastAsiaTheme="minorEastAsia" w:hAnsi="Cambria Math"/>
                    </w:rPr>
                    <m:t>1-</m:t>
                  </m:r>
                  <m:sSub>
                    <m:sSubPr>
                      <m:ctrlPr>
                        <w:rPr>
                          <w:rFonts w:ascii="Cambria Math" w:hAnsi="Cambria Math"/>
                          <w:i/>
                        </w:rPr>
                      </m:ctrlPr>
                    </m:sSubPr>
                    <m:e>
                      <m:r>
                        <w:rPr>
                          <w:rFonts w:ascii="Cambria Math" w:hAnsi="Cambria Math"/>
                        </w:rPr>
                        <m:t>τ</m:t>
                      </m:r>
                    </m:e>
                    <m:sub>
                      <m:r>
                        <w:rPr>
                          <w:rFonts w:ascii="Cambria Math" w:hAnsi="Cambria Math"/>
                        </w:rPr>
                        <m:t>k</m:t>
                      </m:r>
                    </m:sub>
                  </m:sSub>
                  <m:r>
                    <w:rPr>
                      <w:rFonts w:ascii="Cambria Math" w:hAnsi="Cambria Math"/>
                    </w:rPr>
                    <m:t>)</m:t>
                  </m:r>
                </m:e>
              </m:nary>
            </m:den>
          </m:f>
          <m:r>
            <w:rPr>
              <w:rFonts w:ascii="Cambria Math" w:eastAsiaTheme="minorEastAsia" w:hAnsi="Cambria Math"/>
            </w:rPr>
            <m:t xml:space="preserve"> )           (1)</m:t>
          </m:r>
        </m:oMath>
      </m:oMathPara>
    </w:p>
    <w:p w:rsidR="00D35F90" w:rsidRDefault="00D35F90" w:rsidP="00D35F90">
      <w:r>
        <w:t xml:space="preserve">In Equation (1), </w:t>
      </w:r>
      <m:oMath>
        <m:sSub>
          <m:sSubPr>
            <m:ctrlPr>
              <w:rPr>
                <w:rFonts w:ascii="Cambria Math" w:hAnsi="Cambria Math"/>
                <w:i/>
              </w:rPr>
            </m:ctrlPr>
          </m:sSubPr>
          <m:e>
            <m:r>
              <w:rPr>
                <w:rFonts w:ascii="Cambria Math" w:hAnsi="Cambria Math"/>
              </w:rPr>
              <m:t>τ</m:t>
            </m:r>
          </m:e>
          <m:sub>
            <m:r>
              <w:rPr>
                <w:rFonts w:ascii="Cambria Math" w:hAnsi="Cambria Math"/>
              </w:rPr>
              <m:t>k</m:t>
            </m:r>
          </m:sub>
        </m:sSub>
      </m:oMath>
      <w:r>
        <w:rPr>
          <w:rFonts w:eastAsiaTheme="minorEastAsia"/>
        </w:rPr>
        <w:t xml:space="preserve"> indicates if sector </w:t>
      </w:r>
      <w:r>
        <w:rPr>
          <w:i/>
        </w:rPr>
        <w:t xml:space="preserve">k </w:t>
      </w:r>
      <w:r>
        <w:t xml:space="preserve">is inactive. If a sector is inactive, its default vote weight </w:t>
      </w:r>
      <m:oMath>
        <m:sSub>
          <m:sSubPr>
            <m:ctrlPr>
              <w:rPr>
                <w:rFonts w:ascii="Cambria Math" w:hAnsi="Cambria Math"/>
                <w:i/>
              </w:rPr>
            </m:ctrlPr>
          </m:sSubPr>
          <m:e>
            <m:r>
              <w:rPr>
                <w:rFonts w:ascii="Cambria Math" w:hAnsi="Cambria Math"/>
              </w:rPr>
              <m:t>w</m:t>
            </m:r>
          </m:e>
          <m:sub>
            <m:r>
              <w:rPr>
                <w:rFonts w:ascii="Cambria Math" w:hAnsi="Cambria Math"/>
              </w:rPr>
              <m:t>p</m:t>
            </m:r>
          </m:sub>
        </m:sSub>
        <m:r>
          <w:rPr>
            <w:rFonts w:ascii="Cambria Math" w:hAnsi="Cambria Math"/>
          </w:rPr>
          <m:t xml:space="preserve"> </m:t>
        </m:r>
      </m:oMath>
      <w:r>
        <w:t xml:space="preserve">will be re-distributed to active sectors. The above formula for </w:t>
      </w:r>
      <m:oMath>
        <m:sSub>
          <m:sSubPr>
            <m:ctrlPr>
              <w:rPr>
                <w:rFonts w:ascii="Cambria Math" w:hAnsi="Cambria Math"/>
              </w:rPr>
            </m:ctrlPr>
          </m:sSubPr>
          <m:e>
            <m:r>
              <w:rPr>
                <w:rFonts w:ascii="Cambria Math" w:hAnsi="Cambria Math"/>
              </w:rPr>
              <m:t>w</m:t>
            </m:r>
          </m:e>
          <m:sub>
            <m:r>
              <w:rPr>
                <w:rFonts w:ascii="Cambria Math" w:hAnsi="Cambria Math"/>
              </w:rPr>
              <m:t>k</m:t>
            </m:r>
          </m:sub>
        </m:sSub>
      </m:oMath>
      <w:r>
        <w:t xml:space="preserve"> reflects an even re-distribution of the vote weight to active sectors. The Generation Owners sector vote weight is adjusted without re-distribution of weight (for simplicity, this is not included in the above equation). Section 7 of the New York ISO Agreement specifies the process of vote weight sector re-distribution.</w:t>
      </w:r>
    </w:p>
    <w:p w:rsidR="00D35F90" w:rsidRDefault="00D35F90" w:rsidP="00D35F90">
      <w:r>
        <w:t>For each issue, PC participants can choose to vote yes (</w:t>
      </w:r>
      <m:oMath>
        <m:sSub>
          <m:sSubPr>
            <m:ctrlPr>
              <w:rPr>
                <w:rFonts w:ascii="Cambria Math" w:hAnsi="Cambria Math"/>
                <w:i/>
              </w:rPr>
            </m:ctrlPr>
          </m:sSubPr>
          <m:e>
            <m:r>
              <w:rPr>
                <w:rFonts w:ascii="Cambria Math" w:hAnsi="Cambria Math"/>
              </w:rPr>
              <m:t>δ</m:t>
            </m:r>
          </m:e>
          <m:sub>
            <m:r>
              <w:rPr>
                <w:rFonts w:ascii="Cambria Math" w:hAnsi="Cambria Math"/>
              </w:rPr>
              <m:t>j</m:t>
            </m:r>
          </m:sub>
        </m:sSub>
      </m:oMath>
      <w:r>
        <w:rPr>
          <w:rFonts w:eastAsiaTheme="minorEastAsia"/>
        </w:rPr>
        <w:t xml:space="preserve"> </w:t>
      </w:r>
      <w:r>
        <w:t xml:space="preserve">quantified as 1, </w:t>
      </w:r>
      <m:oMath>
        <m:sSub>
          <m:sSubPr>
            <m:ctrlPr>
              <w:rPr>
                <w:rFonts w:ascii="Cambria Math" w:hAnsi="Cambria Math"/>
                <w:i/>
              </w:rPr>
            </m:ctrlPr>
          </m:sSubPr>
          <m:e>
            <m:r>
              <w:rPr>
                <w:rFonts w:ascii="Cambria Math" w:hAnsi="Cambria Math"/>
              </w:rPr>
              <m:t>θ</m:t>
            </m:r>
          </m:e>
          <m:sub>
            <m:r>
              <w:rPr>
                <w:rFonts w:ascii="Cambria Math" w:hAnsi="Cambria Math"/>
              </w:rPr>
              <m:t>j</m:t>
            </m:r>
          </m:sub>
        </m:sSub>
        <m:r>
          <w:rPr>
            <w:rFonts w:ascii="Cambria Math" w:hAnsi="Cambria Math"/>
          </w:rPr>
          <m:t xml:space="preserve"> </m:t>
        </m:r>
      </m:oMath>
      <w:r>
        <w:rPr>
          <w:rFonts w:eastAsiaTheme="minorEastAsia"/>
        </w:rPr>
        <w:t>quantified as 0</w:t>
      </w:r>
      <w:r>
        <w:t>) or no (</w:t>
      </w:r>
      <m:oMath>
        <m:sSub>
          <m:sSubPr>
            <m:ctrlPr>
              <w:rPr>
                <w:rFonts w:ascii="Cambria Math" w:hAnsi="Cambria Math"/>
                <w:i/>
              </w:rPr>
            </m:ctrlPr>
          </m:sSubPr>
          <m:e>
            <m:r>
              <w:rPr>
                <w:rFonts w:ascii="Cambria Math" w:hAnsi="Cambria Math"/>
              </w:rPr>
              <m:t>δ</m:t>
            </m:r>
          </m:e>
          <m:sub>
            <m:r>
              <w:rPr>
                <w:rFonts w:ascii="Cambria Math" w:hAnsi="Cambria Math"/>
              </w:rPr>
              <m:t>j</m:t>
            </m:r>
          </m:sub>
        </m:sSub>
      </m:oMath>
      <w:r>
        <w:rPr>
          <w:rFonts w:eastAsiaTheme="minorEastAsia"/>
        </w:rPr>
        <w:t xml:space="preserve"> </w:t>
      </w:r>
      <w:r>
        <w:t xml:space="preserve">quantified as 0, </w:t>
      </w:r>
      <m:oMath>
        <m:sSub>
          <m:sSubPr>
            <m:ctrlPr>
              <w:rPr>
                <w:rFonts w:ascii="Cambria Math" w:hAnsi="Cambria Math"/>
                <w:i/>
              </w:rPr>
            </m:ctrlPr>
          </m:sSubPr>
          <m:e>
            <m:r>
              <w:rPr>
                <w:rFonts w:ascii="Cambria Math" w:hAnsi="Cambria Math"/>
              </w:rPr>
              <m:t>θ</m:t>
            </m:r>
          </m:e>
          <m:sub>
            <m:r>
              <w:rPr>
                <w:rFonts w:ascii="Cambria Math" w:hAnsi="Cambria Math"/>
              </w:rPr>
              <m:t>j</m:t>
            </m:r>
          </m:sub>
        </m:sSub>
        <m:r>
          <w:rPr>
            <w:rFonts w:ascii="Cambria Math" w:hAnsi="Cambria Math"/>
          </w:rPr>
          <m:t xml:space="preserve"> </m:t>
        </m:r>
      </m:oMath>
      <w:r>
        <w:rPr>
          <w:rFonts w:eastAsiaTheme="minorEastAsia"/>
        </w:rPr>
        <w:t>quantified as 1</w:t>
      </w:r>
      <w:r>
        <w:t xml:space="preserve">), or can choose to abstain. For each sector </w:t>
      </w:r>
      <w:r>
        <w:rPr>
          <w:i/>
        </w:rPr>
        <w:t>k</w:t>
      </w:r>
      <w:r>
        <w:t xml:space="preserve"> a voting score </w:t>
      </w:r>
      <m:oMath>
        <m:sSubSup>
          <m:sSubSupPr>
            <m:ctrlPr>
              <w:rPr>
                <w:rFonts w:ascii="Cambria Math" w:hAnsi="Cambria Math"/>
                <w:i/>
              </w:rPr>
            </m:ctrlPr>
          </m:sSubSupPr>
          <m:e>
            <m:r>
              <w:rPr>
                <w:rFonts w:ascii="Cambria Math" w:hAnsi="Cambria Math"/>
              </w:rPr>
              <m:t>V</m:t>
            </m:r>
          </m:e>
          <m:sub>
            <m:r>
              <w:rPr>
                <w:rFonts w:ascii="Cambria Math" w:hAnsi="Cambria Math"/>
              </w:rPr>
              <m:t>k</m:t>
            </m:r>
          </m:sub>
          <m:sup>
            <m:r>
              <w:rPr>
                <w:rFonts w:ascii="Cambria Math" w:hAnsi="Cambria Math"/>
              </w:rPr>
              <m:t>yes</m:t>
            </m:r>
          </m:sup>
        </m:sSubSup>
      </m:oMath>
      <w:r>
        <w:rPr>
          <w:i/>
        </w:rPr>
        <w:t xml:space="preserve"> </w:t>
      </w:r>
      <w:r>
        <w:t xml:space="preserve">is </w:t>
      </w:r>
      <w:r>
        <w:lastRenderedPageBreak/>
        <w:t>calculated as the proportion of present voters in that sector voting yes, calculated as a proportion of voters who voted yes or no (i.e., abstentions are not counted in the calculation of the voting score). The affirmative proportion is then multiplied by the sector weight. Similar to the notation in Yoo and Blumsack (2019), a mathematical representation of the sector affirmative and negative components of the voting score are:</w:t>
      </w:r>
    </w:p>
    <w:p w:rsidR="00D35F90" w:rsidRPr="00684133" w:rsidRDefault="004D57C2" w:rsidP="00D35F90">
      <w:pPr>
        <w:rPr>
          <w:rFonts w:eastAsiaTheme="minorEastAsia"/>
        </w:rPr>
      </w:pPr>
      <m:oMathPara>
        <m:oMath>
          <m:sSubSup>
            <m:sSubSupPr>
              <m:ctrlPr>
                <w:rPr>
                  <w:rFonts w:ascii="Cambria Math" w:hAnsi="Cambria Math"/>
                  <w:i/>
                </w:rPr>
              </m:ctrlPr>
            </m:sSubSupPr>
            <m:e>
              <m:r>
                <w:rPr>
                  <w:rFonts w:ascii="Cambria Math" w:hAnsi="Cambria Math"/>
                </w:rPr>
                <m:t>V</m:t>
              </m:r>
            </m:e>
            <m:sub>
              <m:r>
                <w:rPr>
                  <w:rFonts w:ascii="Cambria Math" w:hAnsi="Cambria Math"/>
                </w:rPr>
                <m:t>k</m:t>
              </m:r>
            </m:sub>
            <m:sup>
              <m:r>
                <w:rPr>
                  <w:rFonts w:ascii="Cambria Math" w:hAnsi="Cambria Math"/>
                </w:rPr>
                <m:t>yes</m:t>
              </m:r>
            </m:sup>
          </m:sSubSup>
          <m:r>
            <w:rPr>
              <w:rFonts w:ascii="Cambria Math" w:hAnsi="Cambria Math"/>
            </w:rPr>
            <m:t>=</m:t>
          </m:r>
          <m:nary>
            <m:naryPr>
              <m:chr m:val="∑"/>
              <m:limLoc m:val="undOvr"/>
              <m:ctrlPr>
                <w:rPr>
                  <w:rFonts w:ascii="Cambria Math" w:hAnsi="Cambria Math"/>
                  <w:i/>
                </w:rPr>
              </m:ctrlPr>
            </m:naryPr>
            <m:sub>
              <m:r>
                <w:rPr>
                  <w:rFonts w:ascii="Cambria Math" w:hAnsi="Cambria Math"/>
                </w:rPr>
                <m:t>j=1</m:t>
              </m:r>
            </m:sub>
            <m:sup>
              <m:sSub>
                <m:sSubPr>
                  <m:ctrlPr>
                    <w:rPr>
                      <w:rFonts w:ascii="Cambria Math" w:hAnsi="Cambria Math"/>
                      <w:i/>
                    </w:rPr>
                  </m:ctrlPr>
                </m:sSubPr>
                <m:e>
                  <m:r>
                    <w:rPr>
                      <w:rFonts w:ascii="Cambria Math" w:hAnsi="Cambria Math"/>
                    </w:rPr>
                    <m:t>n</m:t>
                  </m:r>
                </m:e>
                <m:sub>
                  <m:r>
                    <w:rPr>
                      <w:rFonts w:ascii="Cambria Math" w:hAnsi="Cambria Math"/>
                    </w:rPr>
                    <m:t>k</m:t>
                  </m:r>
                </m:sub>
              </m:sSub>
            </m:sup>
            <m:e>
              <m:sSub>
                <m:sSubPr>
                  <m:ctrlPr>
                    <w:rPr>
                      <w:rFonts w:ascii="Cambria Math" w:hAnsi="Cambria Math"/>
                      <w:i/>
                    </w:rPr>
                  </m:ctrlPr>
                </m:sSubPr>
                <m:e>
                  <m:r>
                    <w:rPr>
                      <w:rFonts w:ascii="Cambria Math" w:hAnsi="Cambria Math"/>
                    </w:rPr>
                    <m:t>w</m:t>
                  </m:r>
                </m:e>
                <m:sub>
                  <m:r>
                    <w:rPr>
                      <w:rFonts w:ascii="Cambria Math" w:hAnsi="Cambria Math"/>
                    </w:rPr>
                    <m:t>k</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δ</m:t>
                      </m:r>
                    </m:e>
                    <m:sub>
                      <m:r>
                        <w:rPr>
                          <w:rFonts w:ascii="Cambria Math" w:hAnsi="Cambria Math"/>
                        </w:rPr>
                        <m:t>j</m:t>
                      </m:r>
                    </m:sub>
                  </m:sSub>
                </m:num>
                <m:den>
                  <m:sSub>
                    <m:sSubPr>
                      <m:ctrlPr>
                        <w:rPr>
                          <w:rFonts w:ascii="Cambria Math" w:hAnsi="Cambria Math"/>
                          <w:i/>
                        </w:rPr>
                      </m:ctrlPr>
                    </m:sSubPr>
                    <m:e>
                      <m:r>
                        <w:rPr>
                          <w:rFonts w:ascii="Cambria Math" w:hAnsi="Cambria Math"/>
                        </w:rPr>
                        <m:t>n</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k</m:t>
                      </m:r>
                    </m:sub>
                  </m:sSub>
                </m:den>
              </m:f>
            </m:e>
          </m:nary>
          <m:r>
            <w:rPr>
              <w:rFonts w:ascii="Cambria Math" w:eastAsiaTheme="minorEastAsia" w:hAnsi="Cambria Math"/>
            </w:rPr>
            <m:t xml:space="preserve">         (2)</m:t>
          </m:r>
        </m:oMath>
      </m:oMathPara>
    </w:p>
    <w:bookmarkStart w:id="1" w:name="_Hlk54256255"/>
    <w:p w:rsidR="00D35F90" w:rsidRPr="00EC0AFC" w:rsidRDefault="004D57C2" w:rsidP="00D35F90">
      <m:oMathPara>
        <m:oMath>
          <m:sSubSup>
            <m:sSubSupPr>
              <m:ctrlPr>
                <w:rPr>
                  <w:rFonts w:ascii="Cambria Math" w:hAnsi="Cambria Math"/>
                  <w:i/>
                </w:rPr>
              </m:ctrlPr>
            </m:sSubSupPr>
            <m:e>
              <m:r>
                <w:rPr>
                  <w:rFonts w:ascii="Cambria Math" w:hAnsi="Cambria Math"/>
                </w:rPr>
                <m:t>V</m:t>
              </m:r>
            </m:e>
            <m:sub>
              <m:r>
                <w:rPr>
                  <w:rFonts w:ascii="Cambria Math" w:hAnsi="Cambria Math"/>
                </w:rPr>
                <m:t>k</m:t>
              </m:r>
            </m:sub>
            <m:sup>
              <m:r>
                <w:rPr>
                  <w:rFonts w:ascii="Cambria Math" w:hAnsi="Cambria Math"/>
                </w:rPr>
                <m:t>no</m:t>
              </m:r>
            </m:sup>
          </m:sSubSup>
          <m:r>
            <w:rPr>
              <w:rFonts w:ascii="Cambria Math" w:hAnsi="Cambria Math"/>
            </w:rPr>
            <m:t>=</m:t>
          </m:r>
          <m:nary>
            <m:naryPr>
              <m:chr m:val="∑"/>
              <m:limLoc m:val="undOvr"/>
              <m:ctrlPr>
                <w:rPr>
                  <w:rFonts w:ascii="Cambria Math" w:hAnsi="Cambria Math"/>
                  <w:i/>
                </w:rPr>
              </m:ctrlPr>
            </m:naryPr>
            <m:sub>
              <m:r>
                <w:rPr>
                  <w:rFonts w:ascii="Cambria Math" w:hAnsi="Cambria Math"/>
                </w:rPr>
                <m:t>j=1</m:t>
              </m:r>
            </m:sub>
            <m:sup>
              <m:sSub>
                <m:sSubPr>
                  <m:ctrlPr>
                    <w:rPr>
                      <w:rFonts w:ascii="Cambria Math" w:hAnsi="Cambria Math"/>
                      <w:i/>
                    </w:rPr>
                  </m:ctrlPr>
                </m:sSubPr>
                <m:e>
                  <m:r>
                    <w:rPr>
                      <w:rFonts w:ascii="Cambria Math" w:hAnsi="Cambria Math"/>
                    </w:rPr>
                    <m:t>n</m:t>
                  </m:r>
                </m:e>
                <m:sub>
                  <m:r>
                    <w:rPr>
                      <w:rFonts w:ascii="Cambria Math" w:hAnsi="Cambria Math"/>
                    </w:rPr>
                    <m:t>k</m:t>
                  </m:r>
                </m:sub>
              </m:sSub>
            </m:sup>
            <m:e>
              <m:sSub>
                <m:sSubPr>
                  <m:ctrlPr>
                    <w:rPr>
                      <w:rFonts w:ascii="Cambria Math" w:hAnsi="Cambria Math"/>
                      <w:i/>
                    </w:rPr>
                  </m:ctrlPr>
                </m:sSubPr>
                <m:e>
                  <m:r>
                    <w:rPr>
                      <w:rFonts w:ascii="Cambria Math" w:hAnsi="Cambria Math"/>
                    </w:rPr>
                    <m:t>w</m:t>
                  </m:r>
                </m:e>
                <m:sub>
                  <m:r>
                    <w:rPr>
                      <w:rFonts w:ascii="Cambria Math" w:hAnsi="Cambria Math"/>
                    </w:rPr>
                    <m:t>k</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θ</m:t>
                      </m:r>
                    </m:e>
                    <m:sub>
                      <m:r>
                        <w:rPr>
                          <w:rFonts w:ascii="Cambria Math" w:hAnsi="Cambria Math"/>
                        </w:rPr>
                        <m:t>j</m:t>
                      </m:r>
                    </m:sub>
                  </m:sSub>
                </m:num>
                <m:den>
                  <m:sSub>
                    <m:sSubPr>
                      <m:ctrlPr>
                        <w:rPr>
                          <w:rFonts w:ascii="Cambria Math" w:hAnsi="Cambria Math"/>
                          <w:i/>
                        </w:rPr>
                      </m:ctrlPr>
                    </m:sSubPr>
                    <m:e>
                      <m:r>
                        <w:rPr>
                          <w:rFonts w:ascii="Cambria Math" w:hAnsi="Cambria Math"/>
                        </w:rPr>
                        <m:t>n</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k</m:t>
                      </m:r>
                    </m:sub>
                  </m:sSub>
                </m:den>
              </m:f>
            </m:e>
          </m:nary>
          <m:r>
            <w:rPr>
              <w:rFonts w:ascii="Cambria Math" w:eastAsiaTheme="minorEastAsia" w:hAnsi="Cambria Math"/>
            </w:rPr>
            <m:t xml:space="preserve">         (3)</m:t>
          </m:r>
        </m:oMath>
      </m:oMathPara>
    </w:p>
    <w:bookmarkEnd w:id="1"/>
    <w:p w:rsidR="00D35F90" w:rsidRDefault="00D35F90" w:rsidP="00D35F90">
      <w:r>
        <w:t xml:space="preserve">In Equation (2) and (3), </w:t>
      </w:r>
      <w:proofErr w:type="spellStart"/>
      <w:r>
        <w:rPr>
          <w:i/>
        </w:rPr>
        <w:t>n</w:t>
      </w:r>
      <w:r>
        <w:rPr>
          <w:i/>
          <w:vertAlign w:val="subscript"/>
        </w:rPr>
        <w:t>k</w:t>
      </w:r>
      <w:proofErr w:type="spellEnd"/>
      <w:r>
        <w:rPr>
          <w:i/>
        </w:rPr>
        <w:t xml:space="preserve"> </w:t>
      </w:r>
      <w:r>
        <w:t xml:space="preserve">is the number of present voters in sector </w:t>
      </w:r>
      <w:r>
        <w:rPr>
          <w:i/>
        </w:rPr>
        <w:t>k</w:t>
      </w:r>
      <w:r>
        <w:t xml:space="preserve">, </w:t>
      </w:r>
      <m:oMath>
        <m:sSub>
          <m:sSubPr>
            <m:ctrlPr>
              <w:rPr>
                <w:rFonts w:ascii="Cambria Math" w:hAnsi="Cambria Math"/>
                <w:i/>
              </w:rPr>
            </m:ctrlPr>
          </m:sSubPr>
          <m:e>
            <m:r>
              <w:rPr>
                <w:rFonts w:ascii="Cambria Math" w:hAnsi="Cambria Math"/>
              </w:rPr>
              <m:t>δ</m:t>
            </m:r>
          </m:e>
          <m:sub>
            <m:r>
              <w:rPr>
                <w:rFonts w:ascii="Cambria Math" w:hAnsi="Cambria Math"/>
              </w:rPr>
              <m:t>j</m:t>
            </m:r>
          </m:sub>
        </m:sSub>
      </m:oMath>
      <w:r>
        <w:t xml:space="preserve"> is an indicator variable equal to 1 if the j-th voter in sector </w:t>
      </w:r>
      <w:r>
        <w:rPr>
          <w:i/>
        </w:rPr>
        <w:t>k</w:t>
      </w:r>
      <w:r>
        <w:t xml:space="preserve"> voted yes, and zero otherwise, </w:t>
      </w:r>
      <w:proofErr w:type="spellStart"/>
      <w:r>
        <w:rPr>
          <w:i/>
        </w:rPr>
        <w:t>a</w:t>
      </w:r>
      <w:r>
        <w:rPr>
          <w:i/>
          <w:vertAlign w:val="subscript"/>
        </w:rPr>
        <w:t>k</w:t>
      </w:r>
      <w:proofErr w:type="spellEnd"/>
      <w:r>
        <w:t xml:space="preserve"> is the number of present voters in sector </w:t>
      </w:r>
      <w:r>
        <w:rPr>
          <w:i/>
        </w:rPr>
        <w:t>k</w:t>
      </w:r>
      <w:r>
        <w:t xml:space="preserve"> who abstained, and </w:t>
      </w:r>
      <m:oMath>
        <m:sSub>
          <m:sSubPr>
            <m:ctrlPr>
              <w:rPr>
                <w:rFonts w:ascii="Cambria Math" w:hAnsi="Cambria Math"/>
                <w:i/>
              </w:rPr>
            </m:ctrlPr>
          </m:sSubPr>
          <m:e>
            <m:r>
              <w:rPr>
                <w:rFonts w:ascii="Cambria Math" w:hAnsi="Cambria Math"/>
              </w:rPr>
              <m:t>w</m:t>
            </m:r>
          </m:e>
          <m:sub>
            <m:r>
              <w:rPr>
                <w:rFonts w:ascii="Cambria Math" w:hAnsi="Cambria Math"/>
              </w:rPr>
              <m:t>k</m:t>
            </m:r>
          </m:sub>
        </m:sSub>
      </m:oMath>
      <w:r>
        <w:rPr>
          <w:rFonts w:eastAsiaTheme="minorEastAsia"/>
        </w:rPr>
        <w:t xml:space="preserve"> is the sector weight determined in Equation (1)</w:t>
      </w:r>
      <w:r>
        <w:t xml:space="preserve">. The sum of the sector affirmative and negative components of the voting score should equal </w:t>
      </w:r>
      <m:oMath>
        <m:sSub>
          <m:sSubPr>
            <m:ctrlPr>
              <w:rPr>
                <w:rFonts w:ascii="Cambria Math" w:hAnsi="Cambria Math"/>
                <w:i/>
              </w:rPr>
            </m:ctrlPr>
          </m:sSubPr>
          <m:e>
            <m:r>
              <w:rPr>
                <w:rFonts w:ascii="Cambria Math" w:hAnsi="Cambria Math"/>
              </w:rPr>
              <m:t>w</m:t>
            </m:r>
          </m:e>
          <m:sub>
            <m:r>
              <w:rPr>
                <w:rFonts w:ascii="Cambria Math" w:hAnsi="Cambria Math"/>
              </w:rPr>
              <m:t>k</m:t>
            </m:r>
          </m:sub>
        </m:sSub>
      </m:oMath>
      <w:r>
        <w:t>. Note that stakeholders not present are not counted at all (in the numerator or denominator) of the sector voting score.</w:t>
      </w:r>
    </w:p>
    <w:p w:rsidR="00D35F90" w:rsidRDefault="00D35F90" w:rsidP="00D35F90">
      <w:r>
        <w:t xml:space="preserve">The voting scores for each sector are summed to yield an aggregate voting score </w:t>
      </w:r>
      <w:r>
        <w:rPr>
          <w:i/>
        </w:rPr>
        <w:t>V</w:t>
      </w:r>
      <w:r>
        <w:t xml:space="preserve"> for each voting item:</w:t>
      </w:r>
    </w:p>
    <w:p w:rsidR="00D35F90" w:rsidRPr="00DF1061" w:rsidRDefault="00D35F90" w:rsidP="00D35F90">
      <m:oMathPara>
        <m:oMath>
          <m:r>
            <w:rPr>
              <w:rFonts w:ascii="Cambria Math" w:hAnsi="Cambria Math"/>
            </w:rPr>
            <m:t>V=</m:t>
          </m:r>
          <m:nary>
            <m:naryPr>
              <m:chr m:val="∑"/>
              <m:limLoc m:val="undOvr"/>
              <m:supHide m:val="1"/>
              <m:ctrlPr>
                <w:rPr>
                  <w:rFonts w:ascii="Cambria Math" w:eastAsiaTheme="minorEastAsia" w:hAnsi="Cambria Math"/>
                  <w:i/>
                </w:rPr>
              </m:ctrlPr>
            </m:naryPr>
            <m:sub>
              <m:r>
                <w:rPr>
                  <w:rFonts w:ascii="Cambria Math" w:eastAsiaTheme="minorEastAsia" w:hAnsi="Cambria Math"/>
                </w:rPr>
                <m:t>k</m:t>
              </m:r>
            </m:sub>
            <m:sup/>
            <m:e>
              <m:sSubSup>
                <m:sSubSupPr>
                  <m:ctrlPr>
                    <w:rPr>
                      <w:rFonts w:ascii="Cambria Math" w:hAnsi="Cambria Math"/>
                      <w:i/>
                    </w:rPr>
                  </m:ctrlPr>
                </m:sSubSupPr>
                <m:e>
                  <m:r>
                    <w:rPr>
                      <w:rFonts w:ascii="Cambria Math" w:hAnsi="Cambria Math"/>
                    </w:rPr>
                    <m:t>V</m:t>
                  </m:r>
                </m:e>
                <m:sub>
                  <m:r>
                    <w:rPr>
                      <w:rFonts w:ascii="Cambria Math" w:hAnsi="Cambria Math"/>
                    </w:rPr>
                    <m:t>k</m:t>
                  </m:r>
                </m:sub>
                <m:sup>
                  <m:r>
                    <w:rPr>
                      <w:rFonts w:ascii="Cambria Math" w:hAnsi="Cambria Math"/>
                    </w:rPr>
                    <m:t>yes</m:t>
                  </m:r>
                </m:sup>
              </m:sSubSup>
            </m:e>
          </m:nary>
          <m:r>
            <w:rPr>
              <w:rFonts w:ascii="Cambria Math" w:eastAsiaTheme="minorEastAsia" w:hAnsi="Cambria Math"/>
            </w:rPr>
            <m:t xml:space="preserve">        (4)</m:t>
          </m:r>
        </m:oMath>
      </m:oMathPara>
    </w:p>
    <w:p w:rsidR="00D35F90" w:rsidRDefault="00D35F90" w:rsidP="00D35F90">
      <w:r>
        <w:t>Lastly, this voting score is normalized to 100% for the item’s final voting score to be used to determine the outcome of the proposal:</w:t>
      </w:r>
    </w:p>
    <w:p w:rsidR="00D35F90" w:rsidRPr="00DF1061" w:rsidRDefault="004D57C2" w:rsidP="00D35F90">
      <m:oMathPara>
        <m:oMath>
          <m:sSup>
            <m:sSupPr>
              <m:ctrlPr>
                <w:rPr>
                  <w:rFonts w:ascii="Cambria Math" w:hAnsi="Cambria Math"/>
                  <w:i/>
                </w:rPr>
              </m:ctrlPr>
            </m:sSupPr>
            <m:e>
              <m:r>
                <w:rPr>
                  <w:rFonts w:ascii="Cambria Math" w:hAnsi="Cambria Math"/>
                </w:rPr>
                <m:t>V</m:t>
              </m:r>
            </m:e>
            <m:sup>
              <m:r>
                <w:rPr>
                  <w:rFonts w:ascii="Cambria Math" w:hAnsi="Cambria Math"/>
                </w:rPr>
                <m:t>norm</m:t>
              </m:r>
            </m:sup>
          </m:sSup>
          <m:r>
            <w:rPr>
              <w:rFonts w:ascii="Cambria Math" w:hAnsi="Cambria Math"/>
            </w:rPr>
            <m:t>=</m:t>
          </m:r>
          <m:f>
            <m:fPr>
              <m:ctrlPr>
                <w:rPr>
                  <w:rFonts w:ascii="Cambria Math" w:hAnsi="Cambria Math"/>
                  <w:i/>
                </w:rPr>
              </m:ctrlPr>
            </m:fPr>
            <m:num>
              <m:r>
                <w:rPr>
                  <w:rFonts w:ascii="Cambria Math" w:hAnsi="Cambria Math"/>
                </w:rPr>
                <m:t>V</m:t>
              </m:r>
            </m:num>
            <m:den>
              <m:nary>
                <m:naryPr>
                  <m:chr m:val="∑"/>
                  <m:limLoc m:val="undOvr"/>
                  <m:supHide m:val="1"/>
                  <m:ctrlPr>
                    <w:rPr>
                      <w:rFonts w:ascii="Cambria Math" w:eastAsiaTheme="minorEastAsia" w:hAnsi="Cambria Math"/>
                      <w:i/>
                    </w:rPr>
                  </m:ctrlPr>
                </m:naryPr>
                <m:sub>
                  <m:r>
                    <w:rPr>
                      <w:rFonts w:ascii="Cambria Math" w:eastAsiaTheme="minorEastAsia" w:hAnsi="Cambria Math"/>
                    </w:rPr>
                    <m:t>k</m:t>
                  </m:r>
                </m:sub>
                <m:sup/>
                <m:e>
                  <m:r>
                    <w:rPr>
                      <w:rFonts w:ascii="Cambria Math" w:eastAsiaTheme="minorEastAsia" w:hAnsi="Cambria Math"/>
                    </w:rPr>
                    <m:t>(</m:t>
                  </m:r>
                  <m:sSubSup>
                    <m:sSubSupPr>
                      <m:ctrlPr>
                        <w:rPr>
                          <w:rFonts w:ascii="Cambria Math" w:hAnsi="Cambria Math"/>
                          <w:i/>
                        </w:rPr>
                      </m:ctrlPr>
                    </m:sSubSupPr>
                    <m:e>
                      <m:r>
                        <w:rPr>
                          <w:rFonts w:ascii="Cambria Math" w:hAnsi="Cambria Math"/>
                        </w:rPr>
                        <m:t>V</m:t>
                      </m:r>
                    </m:e>
                    <m:sub>
                      <m:r>
                        <w:rPr>
                          <w:rFonts w:ascii="Cambria Math" w:hAnsi="Cambria Math"/>
                        </w:rPr>
                        <m:t>k</m:t>
                      </m:r>
                    </m:sub>
                    <m:sup>
                      <m:r>
                        <w:rPr>
                          <w:rFonts w:ascii="Cambria Math" w:hAnsi="Cambria Math"/>
                        </w:rPr>
                        <m:t>yes</m:t>
                      </m:r>
                    </m:sup>
                  </m:sSubSup>
                  <m:r>
                    <w:rPr>
                      <w:rFonts w:ascii="Cambria Math" w:eastAsiaTheme="minorEastAsia" w:hAnsi="Cambria Math"/>
                    </w:rPr>
                    <m:t>+</m:t>
                  </m:r>
                  <m:sSubSup>
                    <m:sSubSupPr>
                      <m:ctrlPr>
                        <w:rPr>
                          <w:rFonts w:ascii="Cambria Math" w:hAnsi="Cambria Math"/>
                          <w:i/>
                        </w:rPr>
                      </m:ctrlPr>
                    </m:sSubSupPr>
                    <m:e>
                      <m:r>
                        <w:rPr>
                          <w:rFonts w:ascii="Cambria Math" w:hAnsi="Cambria Math"/>
                        </w:rPr>
                        <m:t>V</m:t>
                      </m:r>
                    </m:e>
                    <m:sub>
                      <m:r>
                        <w:rPr>
                          <w:rFonts w:ascii="Cambria Math" w:hAnsi="Cambria Math"/>
                        </w:rPr>
                        <m:t>k</m:t>
                      </m:r>
                    </m:sub>
                    <m:sup>
                      <m:r>
                        <w:rPr>
                          <w:rFonts w:ascii="Cambria Math" w:hAnsi="Cambria Math"/>
                        </w:rPr>
                        <m:t>no</m:t>
                      </m:r>
                    </m:sup>
                  </m:sSubSup>
                  <m:r>
                    <w:rPr>
                      <w:rFonts w:ascii="Cambria Math" w:hAnsi="Cambria Math"/>
                    </w:rPr>
                    <m:t>)</m:t>
                  </m:r>
                </m:e>
              </m:nary>
            </m:den>
          </m:f>
          <m:r>
            <w:rPr>
              <w:rFonts w:ascii="Cambria Math" w:eastAsiaTheme="minorEastAsia" w:hAnsi="Cambria Math"/>
            </w:rPr>
            <m:t xml:space="preserve">         (5)</m:t>
          </m:r>
        </m:oMath>
      </m:oMathPara>
    </w:p>
    <w:p w:rsidR="00D35F90" w:rsidRDefault="00D35F90" w:rsidP="00D35F90">
      <w:r>
        <w:t xml:space="preserve">The aggregate voting score </w:t>
      </w:r>
      <m:oMath>
        <m:sSup>
          <m:sSupPr>
            <m:ctrlPr>
              <w:rPr>
                <w:rFonts w:ascii="Cambria Math" w:hAnsi="Cambria Math"/>
                <w:i/>
              </w:rPr>
            </m:ctrlPr>
          </m:sSupPr>
          <m:e>
            <m:r>
              <w:rPr>
                <w:rFonts w:ascii="Cambria Math" w:hAnsi="Cambria Math"/>
              </w:rPr>
              <m:t>V</m:t>
            </m:r>
          </m:e>
          <m:sup>
            <m:r>
              <w:rPr>
                <w:rFonts w:ascii="Cambria Math" w:hAnsi="Cambria Math"/>
              </w:rPr>
              <m:t>norm</m:t>
            </m:r>
          </m:sup>
        </m:sSup>
      </m:oMath>
      <w:r>
        <w:t xml:space="preserve"> ranges from 0 to 1</w:t>
      </w:r>
      <w:bookmarkStart w:id="2" w:name="_GoBack"/>
      <w:bookmarkEnd w:id="2"/>
      <w:r>
        <w:t xml:space="preserve">00. A voting item passes if </w:t>
      </w:r>
      <w:r w:rsidRPr="00970C24">
        <w:rPr>
          <w:i/>
        </w:rPr>
        <w:t>V</w:t>
      </w:r>
      <w:r w:rsidRPr="005B546C">
        <w:t xml:space="preserve"> ≥ </w:t>
      </w:r>
      <w:r>
        <w:t xml:space="preserve">58. </w:t>
      </w:r>
    </w:p>
    <w:bookmarkEnd w:id="0"/>
    <w:p w:rsidR="000244C8" w:rsidRPr="005B546C" w:rsidRDefault="00D35F90" w:rsidP="005B546C">
      <w:r>
        <w:t xml:space="preserve">The New York ISO publishes voter-level data for each voting item in the MC.  </w:t>
      </w:r>
      <w:r w:rsidR="000244C8">
        <w:t xml:space="preserve">The ‘Vote Data – Item Detail’ </w:t>
      </w:r>
      <w:r w:rsidR="009F1DA4">
        <w:t xml:space="preserve">data </w:t>
      </w:r>
      <w:r w:rsidR="000244C8">
        <w:t>is aggregated vote data. The issue features include vote outcomes, categories, and descriptions and are based mostly on issue presentations, stakeholder voting reports</w:t>
      </w:r>
      <w:r w:rsidR="00CC6051">
        <w:t xml:space="preserve"> (Final Motions)</w:t>
      </w:r>
      <w:r w:rsidR="000244C8">
        <w:t xml:space="preserve"> and relevant web-pages available at the time of compilation.</w:t>
      </w:r>
    </w:p>
    <w:p w:rsidR="001E7144" w:rsidRPr="001E7144" w:rsidRDefault="001E7144" w:rsidP="001E7144">
      <w:pPr>
        <w:rPr>
          <w:b/>
        </w:rPr>
      </w:pPr>
      <w:r w:rsidRPr="001E7144">
        <w:rPr>
          <w:b/>
        </w:rPr>
        <w:t>Annotated Columns:</w:t>
      </w:r>
    </w:p>
    <w:p w:rsidR="001E7144" w:rsidRPr="00EE083A" w:rsidRDefault="001E7144" w:rsidP="001E7144">
      <w:pPr>
        <w:pStyle w:val="ListParagraph"/>
        <w:numPr>
          <w:ilvl w:val="0"/>
          <w:numId w:val="2"/>
        </w:numPr>
      </w:pPr>
      <w:r w:rsidRPr="00EE083A">
        <w:rPr>
          <w:b/>
        </w:rPr>
        <w:t>Meeting Date:</w:t>
      </w:r>
      <w:r w:rsidRPr="00EE083A">
        <w:t xml:space="preserve"> date of the </w:t>
      </w:r>
      <w:r w:rsidR="009736B6" w:rsidRPr="00EE083A">
        <w:t>monthly New York ISO Management</w:t>
      </w:r>
      <w:r w:rsidRPr="00EE083A">
        <w:t xml:space="preserve"> Committee meeting.</w:t>
      </w:r>
    </w:p>
    <w:p w:rsidR="001E7144" w:rsidRDefault="001E7144" w:rsidP="001E7144">
      <w:pPr>
        <w:pStyle w:val="ListParagraph"/>
        <w:numPr>
          <w:ilvl w:val="0"/>
          <w:numId w:val="2"/>
        </w:numPr>
      </w:pPr>
      <w:r w:rsidRPr="00EE083A">
        <w:rPr>
          <w:b/>
        </w:rPr>
        <w:t>Issue Category:</w:t>
      </w:r>
      <w:r w:rsidRPr="00EE083A">
        <w:t xml:space="preserve"> broad categorization of issue topics</w:t>
      </w:r>
      <w:r w:rsidR="00BA47B5" w:rsidRPr="00EE083A">
        <w:t xml:space="preserve"> based on author’s interpretation of information from </w:t>
      </w:r>
      <w:r w:rsidR="0097017A" w:rsidRPr="00EE083A">
        <w:t>New York</w:t>
      </w:r>
      <w:r w:rsidR="00340C4D" w:rsidRPr="00EE083A">
        <w:t xml:space="preserve"> ISO</w:t>
      </w:r>
      <w:r w:rsidRPr="00EE083A">
        <w:t xml:space="preserve">. </w:t>
      </w:r>
      <w:r w:rsidR="00FA5820">
        <w:t>The issue categories for New York ISO (terms defined by New York ISO) include:</w:t>
      </w:r>
    </w:p>
    <w:p w:rsidR="00FA5820" w:rsidRDefault="00FA5820" w:rsidP="00FA5820">
      <w:pPr>
        <w:pStyle w:val="ListParagraph"/>
        <w:numPr>
          <w:ilvl w:val="1"/>
          <w:numId w:val="2"/>
        </w:numPr>
      </w:pPr>
      <w:r w:rsidRPr="00910D3A">
        <w:rPr>
          <w:b/>
        </w:rPr>
        <w:t>Ancillary Services</w:t>
      </w:r>
      <w:r>
        <w:t xml:space="preserve"> – NERC-defined ancillary services including </w:t>
      </w:r>
      <w:r w:rsidRPr="009F0150">
        <w:t>reserves, regulation, reactive power and black start.</w:t>
      </w:r>
    </w:p>
    <w:p w:rsidR="00FA5820" w:rsidRDefault="00FA5820" w:rsidP="00FA5820">
      <w:pPr>
        <w:pStyle w:val="ListParagraph"/>
        <w:numPr>
          <w:ilvl w:val="1"/>
          <w:numId w:val="2"/>
        </w:numPr>
      </w:pPr>
      <w:r w:rsidRPr="00E05FEE">
        <w:rPr>
          <w:b/>
        </w:rPr>
        <w:t xml:space="preserve">Capacity Market </w:t>
      </w:r>
      <w:r w:rsidR="002E0C32" w:rsidRPr="00E05FEE">
        <w:rPr>
          <w:b/>
        </w:rPr>
        <w:t>–</w:t>
      </w:r>
      <w:r w:rsidRPr="00E05FEE">
        <w:rPr>
          <w:b/>
        </w:rPr>
        <w:t xml:space="preserve"> General</w:t>
      </w:r>
      <w:r w:rsidR="002E0C32">
        <w:t xml:space="preserve"> </w:t>
      </w:r>
      <w:r w:rsidR="00E05FEE">
        <w:t>–</w:t>
      </w:r>
      <w:r w:rsidR="002E0C32">
        <w:t xml:space="preserve"> </w:t>
      </w:r>
      <w:r w:rsidR="00E05FEE">
        <w:t xml:space="preserve">the </w:t>
      </w:r>
      <w:r w:rsidR="002E0C32" w:rsidRPr="002E0C32">
        <w:t>Installed Capacity (ICAP) market serves to maintain reliability of the bulk power system by procuring sufficient resource capability to meet expected maximum energy needs plus an Installed Reserve Margin (IRM).</w:t>
      </w:r>
    </w:p>
    <w:p w:rsidR="00FA5820" w:rsidRDefault="00FA5820" w:rsidP="00FA5820">
      <w:pPr>
        <w:pStyle w:val="ListParagraph"/>
        <w:numPr>
          <w:ilvl w:val="1"/>
          <w:numId w:val="2"/>
        </w:numPr>
      </w:pPr>
      <w:r w:rsidRPr="00590AC8">
        <w:rPr>
          <w:b/>
        </w:rPr>
        <w:lastRenderedPageBreak/>
        <w:t>Energy Market</w:t>
      </w:r>
      <w:r>
        <w:t xml:space="preserve"> – day ahead and real time spot markets </w:t>
      </w:r>
      <w:r w:rsidRPr="00570153">
        <w:t xml:space="preserve">in which </w:t>
      </w:r>
      <w:r>
        <w:t xml:space="preserve">wholesale electric </w:t>
      </w:r>
      <w:r w:rsidRPr="00570153">
        <w:t>energy is sold or purchased for immediate delivery.</w:t>
      </w:r>
    </w:p>
    <w:p w:rsidR="00FA5820" w:rsidRDefault="00FA5820" w:rsidP="00FA5820">
      <w:pPr>
        <w:pStyle w:val="ListParagraph"/>
        <w:numPr>
          <w:ilvl w:val="1"/>
          <w:numId w:val="2"/>
        </w:numPr>
      </w:pPr>
      <w:r w:rsidRPr="00910D3A">
        <w:rPr>
          <w:b/>
        </w:rPr>
        <w:t>General Admin</w:t>
      </w:r>
      <w:r>
        <w:t xml:space="preserve"> – covers procedural issues within the New York ISO &amp; MC.</w:t>
      </w:r>
    </w:p>
    <w:p w:rsidR="001120AB" w:rsidRDefault="001120AB" w:rsidP="001120AB">
      <w:pPr>
        <w:pStyle w:val="ListParagraph"/>
        <w:numPr>
          <w:ilvl w:val="1"/>
          <w:numId w:val="2"/>
        </w:numPr>
      </w:pPr>
      <w:r w:rsidRPr="00910D3A">
        <w:rPr>
          <w:b/>
        </w:rPr>
        <w:t>Out-of-Market Payments &amp; Fuel Costs</w:t>
      </w:r>
      <w:r>
        <w:t xml:space="preserve"> – </w:t>
      </w:r>
      <w:r w:rsidRPr="00D5434B">
        <w:t xml:space="preserve">transactions that are exceptions to the usual </w:t>
      </w:r>
      <w:r>
        <w:t>New York ISO</w:t>
      </w:r>
      <w:r w:rsidRPr="00D5434B">
        <w:t xml:space="preserve"> markets </w:t>
      </w:r>
      <w:r>
        <w:t>mechanisms (such as uplift payments).</w:t>
      </w:r>
    </w:p>
    <w:p w:rsidR="00FA5820" w:rsidRPr="00EE083A" w:rsidRDefault="00FA5820" w:rsidP="00FA5820">
      <w:pPr>
        <w:pStyle w:val="ListParagraph"/>
        <w:numPr>
          <w:ilvl w:val="1"/>
          <w:numId w:val="2"/>
        </w:numPr>
      </w:pPr>
      <w:r w:rsidRPr="001120AB">
        <w:rPr>
          <w:b/>
        </w:rPr>
        <w:t>Transmission System Planning, Owner Rev Requirements, and Cost Allocations</w:t>
      </w:r>
      <w:r w:rsidR="001120AB">
        <w:t xml:space="preserve"> – costs related to operations and upgrades to transmission system.</w:t>
      </w:r>
    </w:p>
    <w:p w:rsidR="009350FC" w:rsidRDefault="001E7144" w:rsidP="009350FC">
      <w:pPr>
        <w:pStyle w:val="ListParagraph"/>
        <w:numPr>
          <w:ilvl w:val="0"/>
          <w:numId w:val="2"/>
        </w:numPr>
      </w:pPr>
      <w:r w:rsidRPr="00EE083A">
        <w:rPr>
          <w:b/>
        </w:rPr>
        <w:t>Issue Description:</w:t>
      </w:r>
      <w:r w:rsidRPr="00EE083A">
        <w:t xml:space="preserve"> detailed description of the issue. The description often references direct phrasing </w:t>
      </w:r>
      <w:r w:rsidR="00192F10" w:rsidRPr="00EE083A">
        <w:t xml:space="preserve">from </w:t>
      </w:r>
      <w:r w:rsidR="00340C4D" w:rsidRPr="00EE083A">
        <w:t>New York ISO</w:t>
      </w:r>
      <w:r w:rsidR="00192F10" w:rsidRPr="00EE083A">
        <w:t xml:space="preserve"> MC</w:t>
      </w:r>
      <w:r w:rsidRPr="00EE083A">
        <w:t xml:space="preserve"> issue presentation documents or other relevant information.</w:t>
      </w:r>
    </w:p>
    <w:p w:rsidR="002B7D68" w:rsidRPr="009350FC" w:rsidRDefault="002B7D68" w:rsidP="009350FC">
      <w:pPr>
        <w:pStyle w:val="ListParagraph"/>
        <w:numPr>
          <w:ilvl w:val="0"/>
          <w:numId w:val="2"/>
        </w:numPr>
      </w:pPr>
      <w:r w:rsidRPr="009350FC">
        <w:rPr>
          <w:b/>
        </w:rPr>
        <w:t xml:space="preserve">Management Committee Recommendation Statement: </w:t>
      </w:r>
      <w:r w:rsidR="005958CF" w:rsidRPr="00EE083A">
        <w:t>direct statement from New York ISO MC to the New York ISO Board of Directors.</w:t>
      </w:r>
    </w:p>
    <w:p w:rsidR="001E7144" w:rsidRPr="00EE083A" w:rsidRDefault="001E7144" w:rsidP="001E7144">
      <w:pPr>
        <w:pStyle w:val="ListParagraph"/>
        <w:numPr>
          <w:ilvl w:val="0"/>
          <w:numId w:val="2"/>
        </w:numPr>
      </w:pPr>
      <w:r w:rsidRPr="00EE083A">
        <w:rPr>
          <w:b/>
        </w:rPr>
        <w:t>Item:</w:t>
      </w:r>
      <w:r w:rsidRPr="00EE083A">
        <w:t xml:space="preserve"> </w:t>
      </w:r>
      <w:r w:rsidR="002B7D68" w:rsidRPr="00EE083A">
        <w:t>New York</w:t>
      </w:r>
      <w:r w:rsidR="00340C4D" w:rsidRPr="00EE083A">
        <w:t xml:space="preserve"> ISO</w:t>
      </w:r>
      <w:r w:rsidR="00192F10" w:rsidRPr="00EE083A">
        <w:t xml:space="preserve"> </w:t>
      </w:r>
      <w:r w:rsidRPr="00EE083A">
        <w:t>MC title of the issue.</w:t>
      </w:r>
    </w:p>
    <w:p w:rsidR="004F3842" w:rsidRPr="00784F62" w:rsidRDefault="004F3842" w:rsidP="004F3842">
      <w:pPr>
        <w:pStyle w:val="ListParagraph"/>
        <w:numPr>
          <w:ilvl w:val="0"/>
          <w:numId w:val="2"/>
        </w:numPr>
      </w:pPr>
      <w:r w:rsidRPr="00F44B75">
        <w:rPr>
          <w:b/>
        </w:rPr>
        <w:t>Yes</w:t>
      </w:r>
      <w:r>
        <w:rPr>
          <w:b/>
        </w:rPr>
        <w:t xml:space="preserve">: </w:t>
      </w:r>
      <w:r w:rsidRPr="00F44B75">
        <w:t xml:space="preserve">number of </w:t>
      </w:r>
      <w:r>
        <w:t xml:space="preserve">affirmative </w:t>
      </w:r>
      <w:r w:rsidRPr="00F44B75">
        <w:t>votes cast by all present stakeholders.</w:t>
      </w:r>
    </w:p>
    <w:p w:rsidR="004F3842" w:rsidRPr="00784F62" w:rsidRDefault="004F3842" w:rsidP="004F3842">
      <w:pPr>
        <w:pStyle w:val="ListParagraph"/>
        <w:numPr>
          <w:ilvl w:val="0"/>
          <w:numId w:val="2"/>
        </w:numPr>
      </w:pPr>
      <w:r w:rsidRPr="00F44B75">
        <w:rPr>
          <w:b/>
        </w:rPr>
        <w:t>No</w:t>
      </w:r>
      <w:r>
        <w:rPr>
          <w:b/>
        </w:rPr>
        <w:t xml:space="preserve">: </w:t>
      </w:r>
      <w:r w:rsidRPr="00F44B75">
        <w:t xml:space="preserve">number of </w:t>
      </w:r>
      <w:r>
        <w:t xml:space="preserve">negative </w:t>
      </w:r>
      <w:r w:rsidRPr="00F44B75">
        <w:t>votes cast by all present stakeholders.</w:t>
      </w:r>
    </w:p>
    <w:p w:rsidR="004F3842" w:rsidRPr="00F44B75" w:rsidRDefault="004F3842" w:rsidP="004F3842">
      <w:pPr>
        <w:pStyle w:val="ListParagraph"/>
        <w:numPr>
          <w:ilvl w:val="0"/>
          <w:numId w:val="2"/>
        </w:numPr>
      </w:pPr>
      <w:r w:rsidRPr="00F44B75">
        <w:rPr>
          <w:b/>
        </w:rPr>
        <w:t>Abstain:</w:t>
      </w:r>
      <w:r w:rsidRPr="00F44B75">
        <w:t xml:space="preserve"> number of </w:t>
      </w:r>
      <w:r>
        <w:t xml:space="preserve">abstentions </w:t>
      </w:r>
      <w:r w:rsidRPr="00F44B75">
        <w:t xml:space="preserve">by all present stakeholders. </w:t>
      </w:r>
    </w:p>
    <w:p w:rsidR="0054334B" w:rsidRPr="00EE083A" w:rsidRDefault="005958CF" w:rsidP="001E7144">
      <w:pPr>
        <w:pStyle w:val="ListParagraph"/>
        <w:numPr>
          <w:ilvl w:val="0"/>
          <w:numId w:val="2"/>
        </w:numPr>
      </w:pPr>
      <w:r w:rsidRPr="00EE083A">
        <w:rPr>
          <w:b/>
        </w:rPr>
        <w:t>Transmission Owners</w:t>
      </w:r>
      <w:r w:rsidR="001C25FB" w:rsidRPr="00EE083A">
        <w:rPr>
          <w:b/>
        </w:rPr>
        <w:t>:</w:t>
      </w:r>
      <w:r w:rsidR="00192F10" w:rsidRPr="00EE083A">
        <w:rPr>
          <w:b/>
        </w:rPr>
        <w:t xml:space="preserve"> </w:t>
      </w:r>
      <w:r w:rsidR="00192F10" w:rsidRPr="00EE083A">
        <w:t xml:space="preserve">average sector vote score calculated for the Transmission Owner sector </w:t>
      </w:r>
      <w:r w:rsidR="00BE7955">
        <w:t>(% of votes in favor of the proposal excluding abstentions for the sector, as described in equation 2).</w:t>
      </w:r>
    </w:p>
    <w:p w:rsidR="001C25FB" w:rsidRPr="00EE083A" w:rsidRDefault="005958CF" w:rsidP="001E7144">
      <w:pPr>
        <w:pStyle w:val="ListParagraph"/>
        <w:numPr>
          <w:ilvl w:val="0"/>
          <w:numId w:val="2"/>
        </w:numPr>
      </w:pPr>
      <w:r w:rsidRPr="00EE083A">
        <w:rPr>
          <w:b/>
        </w:rPr>
        <w:t>Generation Owners</w:t>
      </w:r>
      <w:r w:rsidR="001C25FB" w:rsidRPr="00EE083A">
        <w:rPr>
          <w:b/>
        </w:rPr>
        <w:t>:</w:t>
      </w:r>
      <w:r w:rsidR="00192F10" w:rsidRPr="00EE083A">
        <w:rPr>
          <w:b/>
        </w:rPr>
        <w:t xml:space="preserve"> </w:t>
      </w:r>
      <w:r w:rsidR="00192F10" w:rsidRPr="00EE083A">
        <w:t xml:space="preserve">average sector vote score calculated for the Generation Owner sector </w:t>
      </w:r>
      <w:r w:rsidR="00BE7955">
        <w:t>(% of votes in favor of the proposal excluding abstentions for the sector, as described in equation 2).</w:t>
      </w:r>
    </w:p>
    <w:p w:rsidR="001C25FB" w:rsidRPr="00EE083A" w:rsidRDefault="001E7144" w:rsidP="001E7144">
      <w:pPr>
        <w:pStyle w:val="ListParagraph"/>
        <w:numPr>
          <w:ilvl w:val="0"/>
          <w:numId w:val="2"/>
        </w:numPr>
      </w:pPr>
      <w:r w:rsidRPr="00EE083A">
        <w:rPr>
          <w:b/>
        </w:rPr>
        <w:t>EUC</w:t>
      </w:r>
      <w:r w:rsidR="001C25FB" w:rsidRPr="00EE083A">
        <w:rPr>
          <w:b/>
        </w:rPr>
        <w:t>:</w:t>
      </w:r>
      <w:r w:rsidR="00192F10" w:rsidRPr="00EE083A">
        <w:rPr>
          <w:b/>
        </w:rPr>
        <w:t xml:space="preserve"> </w:t>
      </w:r>
      <w:r w:rsidR="00192F10" w:rsidRPr="00EE083A">
        <w:t xml:space="preserve">average sector vote score calculated for the End-Use Customer sector </w:t>
      </w:r>
      <w:r w:rsidR="00BE7955">
        <w:t>(% of votes in favor of the proposal excluding abstentions for the sector, as described in equation 2).</w:t>
      </w:r>
    </w:p>
    <w:p w:rsidR="001C25FB" w:rsidRPr="00EE083A" w:rsidRDefault="00FF1863" w:rsidP="001E7144">
      <w:pPr>
        <w:pStyle w:val="ListParagraph"/>
        <w:numPr>
          <w:ilvl w:val="0"/>
          <w:numId w:val="2"/>
        </w:numPr>
      </w:pPr>
      <w:r w:rsidRPr="00EE083A">
        <w:rPr>
          <w:b/>
        </w:rPr>
        <w:t>Public Power/ Environmental</w:t>
      </w:r>
      <w:r w:rsidR="001C25FB" w:rsidRPr="00EE083A">
        <w:rPr>
          <w:b/>
        </w:rPr>
        <w:t>:</w:t>
      </w:r>
      <w:r w:rsidR="00192F10" w:rsidRPr="00EE083A">
        <w:rPr>
          <w:b/>
        </w:rPr>
        <w:t xml:space="preserve"> </w:t>
      </w:r>
      <w:r w:rsidR="00192F10" w:rsidRPr="00EE083A">
        <w:t xml:space="preserve">average sector vote score calculated for the </w:t>
      </w:r>
      <w:r w:rsidR="002E2B9C" w:rsidRPr="00EE083A">
        <w:t>Public Power/Environmental</w:t>
      </w:r>
      <w:r w:rsidR="00192F10" w:rsidRPr="00EE083A">
        <w:t xml:space="preserve"> sector </w:t>
      </w:r>
      <w:r w:rsidR="00BE7955">
        <w:t>(% of votes in favor of the proposal excluding abstentions for the sector, as described in equation 2).</w:t>
      </w:r>
    </w:p>
    <w:p w:rsidR="009350FC" w:rsidRDefault="00FF1863" w:rsidP="009350FC">
      <w:pPr>
        <w:pStyle w:val="ListParagraph"/>
        <w:numPr>
          <w:ilvl w:val="0"/>
          <w:numId w:val="2"/>
        </w:numPr>
      </w:pPr>
      <w:r w:rsidRPr="00EE083A">
        <w:rPr>
          <w:b/>
        </w:rPr>
        <w:t>Other Suppliers</w:t>
      </w:r>
      <w:r w:rsidR="001E7144" w:rsidRPr="00EE083A">
        <w:rPr>
          <w:b/>
        </w:rPr>
        <w:t>:</w:t>
      </w:r>
      <w:r w:rsidR="001E7144" w:rsidRPr="00EE083A">
        <w:t xml:space="preserve"> </w:t>
      </w:r>
      <w:r w:rsidR="00192F10" w:rsidRPr="00EE083A">
        <w:t>average sector vote score calculated for the Other Supplier</w:t>
      </w:r>
      <w:r w:rsidR="002E2B9C" w:rsidRPr="00EE083A">
        <w:t>s</w:t>
      </w:r>
      <w:r w:rsidR="00192F10" w:rsidRPr="00EE083A">
        <w:t xml:space="preserve"> sector </w:t>
      </w:r>
      <w:r w:rsidR="00BE7955">
        <w:t>(% of votes in favor of the proposal excluding abstentions for the sector, as described in equation 2).</w:t>
      </w:r>
    </w:p>
    <w:p w:rsidR="002E2B9C" w:rsidRPr="009350FC" w:rsidRDefault="002E2B9C" w:rsidP="009350FC">
      <w:pPr>
        <w:pStyle w:val="ListParagraph"/>
        <w:numPr>
          <w:ilvl w:val="0"/>
          <w:numId w:val="2"/>
        </w:numPr>
      </w:pPr>
      <w:r w:rsidRPr="009350FC">
        <w:rPr>
          <w:b/>
        </w:rPr>
        <w:t xml:space="preserve">Normalize to 100%: </w:t>
      </w:r>
      <w:r w:rsidR="00BE7955">
        <w:t>indicates if vote is normalized to 100%.</w:t>
      </w:r>
    </w:p>
    <w:p w:rsidR="001E7144" w:rsidRPr="00EE083A" w:rsidRDefault="008D1FAB" w:rsidP="001E7144">
      <w:pPr>
        <w:pStyle w:val="ListParagraph"/>
        <w:numPr>
          <w:ilvl w:val="0"/>
          <w:numId w:val="2"/>
        </w:numPr>
      </w:pPr>
      <w:r w:rsidRPr="00EE083A">
        <w:rPr>
          <w:b/>
        </w:rPr>
        <w:t>Voting Score</w:t>
      </w:r>
      <w:r w:rsidR="001E7144" w:rsidRPr="00EE083A">
        <w:rPr>
          <w:b/>
        </w:rPr>
        <w:t>:</w:t>
      </w:r>
      <w:r w:rsidR="001E7144" w:rsidRPr="00EE083A">
        <w:t xml:space="preserve"> </w:t>
      </w:r>
      <w:r w:rsidR="00BB6F10" w:rsidRPr="00EE083A">
        <w:t>the sum across all sectors taken to calculate the overall vote score</w:t>
      </w:r>
      <w:r w:rsidR="00C02989">
        <w:t>, as described in equation 2</w:t>
      </w:r>
      <w:r w:rsidR="00BB6F10" w:rsidRPr="00EE083A">
        <w:t xml:space="preserve">. </w:t>
      </w:r>
    </w:p>
    <w:p w:rsidR="00EE083A" w:rsidRPr="00EE083A" w:rsidRDefault="00EE083A" w:rsidP="001E7144">
      <w:pPr>
        <w:pStyle w:val="ListParagraph"/>
        <w:numPr>
          <w:ilvl w:val="0"/>
          <w:numId w:val="2"/>
        </w:numPr>
      </w:pPr>
      <w:r w:rsidRPr="00EE083A">
        <w:rPr>
          <w:b/>
        </w:rPr>
        <w:t>Voting Score (2):</w:t>
      </w:r>
      <w:r w:rsidRPr="00EE083A">
        <w:t xml:space="preserve"> adjusted voting score if the vote requires normalization to 100%</w:t>
      </w:r>
      <w:r w:rsidR="00BE7955">
        <w:t>, as described in equation 5</w:t>
      </w:r>
      <w:r w:rsidRPr="00EE083A">
        <w:t>.</w:t>
      </w:r>
      <w:r w:rsidR="00BE7955">
        <w:t xml:space="preserve"> </w:t>
      </w:r>
      <w:r w:rsidR="00BE7955" w:rsidRPr="00EE083A">
        <w:t>The vote score can be between 0-100% and the item passes if the vote score is ≥ 58%.</w:t>
      </w:r>
    </w:p>
    <w:p w:rsidR="001E7144" w:rsidRPr="00EE083A" w:rsidRDefault="008D1FAB" w:rsidP="001E7144">
      <w:pPr>
        <w:pStyle w:val="ListParagraph"/>
        <w:numPr>
          <w:ilvl w:val="0"/>
          <w:numId w:val="2"/>
        </w:numPr>
      </w:pPr>
      <w:r w:rsidRPr="00EE083A">
        <w:rPr>
          <w:b/>
        </w:rPr>
        <w:t>Outcome:</w:t>
      </w:r>
      <w:r w:rsidR="001E7144" w:rsidRPr="00EE083A">
        <w:t xml:space="preserve"> </w:t>
      </w:r>
      <w:r w:rsidR="00BB6F10" w:rsidRPr="00EE083A">
        <w:t xml:space="preserve">if the vote score is ≥ </w:t>
      </w:r>
      <w:r w:rsidR="00EE083A" w:rsidRPr="00EE083A">
        <w:t>58%</w:t>
      </w:r>
      <w:r w:rsidR="00BB6F10" w:rsidRPr="00EE083A">
        <w:t xml:space="preserve">, </w:t>
      </w:r>
      <w:r w:rsidR="001E7144" w:rsidRPr="00EE083A">
        <w:t>a voting item passes</w:t>
      </w:r>
      <w:r w:rsidR="00BB6F10" w:rsidRPr="00EE083A">
        <w:t>; otherwise the vote fails.</w:t>
      </w:r>
      <w:r w:rsidR="001E7144" w:rsidRPr="00EE083A">
        <w:t xml:space="preserve"> </w:t>
      </w:r>
    </w:p>
    <w:p w:rsidR="00BB6F10" w:rsidRDefault="001E7144" w:rsidP="001E7144">
      <w:pPr>
        <w:rPr>
          <w:b/>
        </w:rPr>
      </w:pPr>
      <w:r w:rsidRPr="001E7144">
        <w:rPr>
          <w:b/>
        </w:rPr>
        <w:t>'Vote Data - Company Detail'</w:t>
      </w:r>
    </w:p>
    <w:p w:rsidR="00BB6F10" w:rsidRDefault="00BB6F10" w:rsidP="001E7144">
      <w:pPr>
        <w:rPr>
          <w:b/>
        </w:rPr>
      </w:pPr>
      <w:r>
        <w:rPr>
          <w:b/>
        </w:rPr>
        <w:t>Description:</w:t>
      </w:r>
      <w:r w:rsidR="009F1DA4">
        <w:rPr>
          <w:b/>
        </w:rPr>
        <w:t xml:space="preserve"> </w:t>
      </w:r>
      <w:r w:rsidR="009F1DA4">
        <w:t xml:space="preserve">The ‘Vote Data – Company Detail’ data is disaggregated stakeholder-level vote data. </w:t>
      </w:r>
      <w:r w:rsidR="005E7EBD">
        <w:t xml:space="preserve">In addition to vote choice, </w:t>
      </w:r>
      <w:r w:rsidR="009F1DA4">
        <w:t xml:space="preserve">company features include sector, line of business, and </w:t>
      </w:r>
      <w:r w:rsidR="005E7EBD">
        <w:t xml:space="preserve">grouping by the size of </w:t>
      </w:r>
      <w:r w:rsidR="00543A25">
        <w:t xml:space="preserve">their </w:t>
      </w:r>
      <w:r w:rsidR="005E7EBD">
        <w:t>generation, transmission and</w:t>
      </w:r>
      <w:r w:rsidR="00543A25">
        <w:t>/or</w:t>
      </w:r>
      <w:r w:rsidR="005E7EBD">
        <w:t xml:space="preserve"> load serving operations. This information is indicated in</w:t>
      </w:r>
      <w:r w:rsidR="009F1DA4">
        <w:t xml:space="preserve"> </w:t>
      </w:r>
      <w:r w:rsidR="00543A25">
        <w:t xml:space="preserve">the MC </w:t>
      </w:r>
      <w:r w:rsidR="00CC6051">
        <w:t>Final Motions report</w:t>
      </w:r>
      <w:r w:rsidR="00313E6D">
        <w:t xml:space="preserve"> published by New York ISO. Note that not all stakeholder entities are represented for all votes. A particular stakeholder may be missing from a particular vote because that entity was not a recognized voting stakeholder at the time the vote was taken; was not present for the vote; or was recognized as a non-voting “affiliate member” at the time the vote was taken.</w:t>
      </w:r>
    </w:p>
    <w:p w:rsidR="001E7144" w:rsidRPr="001E7144" w:rsidRDefault="001E7144" w:rsidP="001E7144">
      <w:pPr>
        <w:rPr>
          <w:b/>
        </w:rPr>
      </w:pPr>
      <w:r w:rsidRPr="001E7144">
        <w:rPr>
          <w:b/>
        </w:rPr>
        <w:lastRenderedPageBreak/>
        <w:t>Annotated Columns:</w:t>
      </w:r>
    </w:p>
    <w:p w:rsidR="001E7144" w:rsidRPr="001E3798" w:rsidRDefault="001E7144" w:rsidP="001E7144">
      <w:pPr>
        <w:pStyle w:val="ListParagraph"/>
        <w:numPr>
          <w:ilvl w:val="0"/>
          <w:numId w:val="3"/>
        </w:numPr>
      </w:pPr>
      <w:r w:rsidRPr="001E3798">
        <w:rPr>
          <w:b/>
        </w:rPr>
        <w:t>Meeting Date:</w:t>
      </w:r>
      <w:r w:rsidRPr="001E3798">
        <w:t xml:space="preserve"> date of the monthly </w:t>
      </w:r>
      <w:r w:rsidR="001E7C6B" w:rsidRPr="001E3798">
        <w:t xml:space="preserve">New York ISO </w:t>
      </w:r>
      <w:r w:rsidR="002C2F2A" w:rsidRPr="001E3798">
        <w:t xml:space="preserve">Members Committee </w:t>
      </w:r>
      <w:r w:rsidRPr="001E3798">
        <w:t>meeting.</w:t>
      </w:r>
    </w:p>
    <w:p w:rsidR="001E7144" w:rsidRPr="001E3798" w:rsidRDefault="001E7144" w:rsidP="00502F9B">
      <w:pPr>
        <w:pStyle w:val="ListParagraph"/>
        <w:numPr>
          <w:ilvl w:val="0"/>
          <w:numId w:val="3"/>
        </w:numPr>
      </w:pPr>
      <w:r w:rsidRPr="001E3798">
        <w:rPr>
          <w:b/>
        </w:rPr>
        <w:t>Date:</w:t>
      </w:r>
      <w:r w:rsidRPr="001E3798">
        <w:t xml:space="preserve"> date of the monthly </w:t>
      </w:r>
      <w:r w:rsidR="001E7C6B" w:rsidRPr="001E3798">
        <w:t xml:space="preserve">New York ISO </w:t>
      </w:r>
      <w:r w:rsidR="00870F36" w:rsidRPr="001E3798">
        <w:t>MC</w:t>
      </w:r>
      <w:r w:rsidRPr="001E3798">
        <w:t xml:space="preserve"> meeting (alternate format).</w:t>
      </w:r>
    </w:p>
    <w:p w:rsidR="00870F36" w:rsidRPr="001E3798" w:rsidRDefault="00870F36" w:rsidP="00870F36">
      <w:pPr>
        <w:pStyle w:val="ListParagraph"/>
        <w:numPr>
          <w:ilvl w:val="0"/>
          <w:numId w:val="3"/>
        </w:numPr>
      </w:pPr>
      <w:r w:rsidRPr="001E3798">
        <w:rPr>
          <w:b/>
        </w:rPr>
        <w:t>Item:</w:t>
      </w:r>
      <w:r w:rsidRPr="001E3798">
        <w:t xml:space="preserve"> </w:t>
      </w:r>
      <w:r w:rsidR="00197B22" w:rsidRPr="001E3798">
        <w:t>New York</w:t>
      </w:r>
      <w:r w:rsidR="00340C4D" w:rsidRPr="001E3798">
        <w:t xml:space="preserve"> ISO</w:t>
      </w:r>
      <w:r w:rsidR="00756052" w:rsidRPr="001E3798">
        <w:t xml:space="preserve"> </w:t>
      </w:r>
      <w:r w:rsidRPr="001E3798">
        <w:t>MC title of the issue.</w:t>
      </w:r>
    </w:p>
    <w:p w:rsidR="00E05FEE" w:rsidRDefault="001E7144" w:rsidP="00E05FEE">
      <w:pPr>
        <w:pStyle w:val="ListParagraph"/>
        <w:numPr>
          <w:ilvl w:val="0"/>
          <w:numId w:val="2"/>
        </w:numPr>
      </w:pPr>
      <w:r w:rsidRPr="001E3798">
        <w:rPr>
          <w:b/>
        </w:rPr>
        <w:t>Issue Category:</w:t>
      </w:r>
      <w:r w:rsidRPr="001E3798">
        <w:t xml:space="preserve"> </w:t>
      </w:r>
      <w:r w:rsidR="00197B22" w:rsidRPr="001E3798">
        <w:t xml:space="preserve">broad categorization of issue topics based on author’s interpretation of information from New York ISO. </w:t>
      </w:r>
      <w:r w:rsidR="00E05FEE">
        <w:t>The issue categories for New York ISO (terms defined by New York ISO) include:</w:t>
      </w:r>
    </w:p>
    <w:p w:rsidR="00E05FEE" w:rsidRDefault="00E05FEE" w:rsidP="00E05FEE">
      <w:pPr>
        <w:pStyle w:val="ListParagraph"/>
        <w:numPr>
          <w:ilvl w:val="1"/>
          <w:numId w:val="2"/>
        </w:numPr>
      </w:pPr>
      <w:r w:rsidRPr="00910D3A">
        <w:rPr>
          <w:b/>
        </w:rPr>
        <w:t>Ancillary Services</w:t>
      </w:r>
      <w:r>
        <w:t xml:space="preserve"> – NERC-defined ancillary services including </w:t>
      </w:r>
      <w:r w:rsidRPr="009F0150">
        <w:t>reserves, regulation, reactive power and black start.</w:t>
      </w:r>
    </w:p>
    <w:p w:rsidR="00E05FEE" w:rsidRDefault="00E05FEE" w:rsidP="00E05FEE">
      <w:pPr>
        <w:pStyle w:val="ListParagraph"/>
        <w:numPr>
          <w:ilvl w:val="1"/>
          <w:numId w:val="2"/>
        </w:numPr>
      </w:pPr>
      <w:r w:rsidRPr="00E05FEE">
        <w:rPr>
          <w:b/>
        </w:rPr>
        <w:t>Capacity Market – General</w:t>
      </w:r>
      <w:r>
        <w:t xml:space="preserve"> – the </w:t>
      </w:r>
      <w:r w:rsidRPr="002E0C32">
        <w:t>Installed Capacity (ICAP) market serves to maintain reliability of the bulk power system by procuring sufficient resource capability to meet expected maximum energy needs plus an Installed Reserve Margin (IRM).</w:t>
      </w:r>
    </w:p>
    <w:p w:rsidR="00E05FEE" w:rsidRDefault="00E05FEE" w:rsidP="00E05FEE">
      <w:pPr>
        <w:pStyle w:val="ListParagraph"/>
        <w:numPr>
          <w:ilvl w:val="1"/>
          <w:numId w:val="2"/>
        </w:numPr>
      </w:pPr>
      <w:r w:rsidRPr="00590AC8">
        <w:rPr>
          <w:b/>
        </w:rPr>
        <w:t>Energy Market</w:t>
      </w:r>
      <w:r>
        <w:t xml:space="preserve"> – day ahead and real time spot markets </w:t>
      </w:r>
      <w:r w:rsidRPr="00570153">
        <w:t xml:space="preserve">in which </w:t>
      </w:r>
      <w:r>
        <w:t xml:space="preserve">wholesale electric </w:t>
      </w:r>
      <w:r w:rsidRPr="00570153">
        <w:t>energy is sold or purchased for immediate delivery.</w:t>
      </w:r>
    </w:p>
    <w:p w:rsidR="00E05FEE" w:rsidRDefault="00E05FEE" w:rsidP="00E05FEE">
      <w:pPr>
        <w:pStyle w:val="ListParagraph"/>
        <w:numPr>
          <w:ilvl w:val="1"/>
          <w:numId w:val="2"/>
        </w:numPr>
      </w:pPr>
      <w:r w:rsidRPr="00910D3A">
        <w:rPr>
          <w:b/>
        </w:rPr>
        <w:t>General Admin</w:t>
      </w:r>
      <w:r>
        <w:t xml:space="preserve"> – covers procedural issues within the New York ISO &amp; MC.</w:t>
      </w:r>
    </w:p>
    <w:p w:rsidR="00E05FEE" w:rsidRDefault="00E05FEE" w:rsidP="00E05FEE">
      <w:pPr>
        <w:pStyle w:val="ListParagraph"/>
        <w:numPr>
          <w:ilvl w:val="1"/>
          <w:numId w:val="2"/>
        </w:numPr>
      </w:pPr>
      <w:r w:rsidRPr="00910D3A">
        <w:rPr>
          <w:b/>
        </w:rPr>
        <w:t>Out-of-Market Payments &amp; Fuel Costs</w:t>
      </w:r>
      <w:r>
        <w:t xml:space="preserve"> – </w:t>
      </w:r>
      <w:r w:rsidRPr="00D5434B">
        <w:t xml:space="preserve">transactions that are exceptions to the usual </w:t>
      </w:r>
      <w:r>
        <w:t>New York ISO</w:t>
      </w:r>
      <w:r w:rsidRPr="00D5434B">
        <w:t xml:space="preserve"> markets </w:t>
      </w:r>
      <w:r>
        <w:t>mechanisms (such as uplift payments).</w:t>
      </w:r>
    </w:p>
    <w:p w:rsidR="001E7144" w:rsidRPr="001E3798" w:rsidRDefault="00E05FEE" w:rsidP="00E05FEE">
      <w:pPr>
        <w:pStyle w:val="ListParagraph"/>
        <w:numPr>
          <w:ilvl w:val="1"/>
          <w:numId w:val="2"/>
        </w:numPr>
      </w:pPr>
      <w:r w:rsidRPr="001120AB">
        <w:rPr>
          <w:b/>
        </w:rPr>
        <w:t>Transmission System Planning, Owner Rev Requirements, and Cost Allocations</w:t>
      </w:r>
      <w:r>
        <w:t xml:space="preserve"> – costs related to operations and upgrades to transmission system.</w:t>
      </w:r>
    </w:p>
    <w:p w:rsidR="009350FC" w:rsidRDefault="00197B22" w:rsidP="009350FC">
      <w:pPr>
        <w:pStyle w:val="ListParagraph"/>
        <w:numPr>
          <w:ilvl w:val="0"/>
          <w:numId w:val="3"/>
        </w:numPr>
      </w:pPr>
      <w:r w:rsidRPr="001E3798">
        <w:rPr>
          <w:b/>
        </w:rPr>
        <w:t>Voting Score (2):</w:t>
      </w:r>
      <w:r w:rsidRPr="001E3798">
        <w:t xml:space="preserve"> </w:t>
      </w:r>
      <w:r w:rsidR="00C02989">
        <w:t>ad</w:t>
      </w:r>
      <w:r w:rsidR="00C02989" w:rsidRPr="00EE083A">
        <w:t>justed voting score if the vote requires normalization to 100%</w:t>
      </w:r>
      <w:r w:rsidR="00C02989">
        <w:t>, as described in equation 5</w:t>
      </w:r>
      <w:r w:rsidR="00C02989" w:rsidRPr="00EE083A">
        <w:t>.</w:t>
      </w:r>
      <w:r w:rsidR="00C02989">
        <w:t xml:space="preserve"> </w:t>
      </w:r>
      <w:r w:rsidR="00C02989" w:rsidRPr="00EE083A">
        <w:t>The vote score can be between 0-100% and the item passes if the vote score is ≥ 58%.</w:t>
      </w:r>
    </w:p>
    <w:p w:rsidR="009350FC" w:rsidRDefault="001E7C6B" w:rsidP="009350FC">
      <w:pPr>
        <w:pStyle w:val="ListParagraph"/>
        <w:numPr>
          <w:ilvl w:val="0"/>
          <w:numId w:val="3"/>
        </w:numPr>
      </w:pPr>
      <w:r w:rsidRPr="009350FC">
        <w:rPr>
          <w:b/>
        </w:rPr>
        <w:t xml:space="preserve">Present: </w:t>
      </w:r>
      <w:r w:rsidR="00D733D7" w:rsidRPr="001E3798">
        <w:t>indicates</w:t>
      </w:r>
      <w:r w:rsidR="00D733D7" w:rsidRPr="009350FC">
        <w:rPr>
          <w:b/>
        </w:rPr>
        <w:t xml:space="preserve"> </w:t>
      </w:r>
      <w:r w:rsidR="00D733D7" w:rsidRPr="001E3798">
        <w:t>stakeholders’</w:t>
      </w:r>
      <w:r w:rsidRPr="001E3798">
        <w:t xml:space="preserve"> </w:t>
      </w:r>
      <w:r w:rsidR="00D733D7" w:rsidRPr="001E3798">
        <w:t xml:space="preserve">attendance in </w:t>
      </w:r>
      <w:r w:rsidRPr="001E3798">
        <w:t>the monthly New York ISO MC meeting.</w:t>
      </w:r>
    </w:p>
    <w:p w:rsidR="009350FC" w:rsidRDefault="00D733D7" w:rsidP="009350FC">
      <w:pPr>
        <w:pStyle w:val="ListParagraph"/>
        <w:numPr>
          <w:ilvl w:val="0"/>
          <w:numId w:val="3"/>
        </w:numPr>
      </w:pPr>
      <w:r w:rsidRPr="009350FC">
        <w:rPr>
          <w:b/>
        </w:rPr>
        <w:t xml:space="preserve">Yes: </w:t>
      </w:r>
      <w:r w:rsidRPr="001E3798">
        <w:t xml:space="preserve">affirmative vote; </w:t>
      </w:r>
      <m:oMath>
        <m:r>
          <w:rPr>
            <w:rFonts w:ascii="Cambria Math" w:hAnsi="Cambria Math"/>
          </w:rPr>
          <m:t>δ</m:t>
        </m:r>
      </m:oMath>
      <w:r w:rsidRPr="001E3798">
        <w:t xml:space="preserve"> = 1 if vote is yes.</w:t>
      </w:r>
    </w:p>
    <w:p w:rsidR="009350FC" w:rsidRDefault="00D733D7" w:rsidP="009350FC">
      <w:pPr>
        <w:pStyle w:val="ListParagraph"/>
        <w:numPr>
          <w:ilvl w:val="0"/>
          <w:numId w:val="3"/>
        </w:numPr>
      </w:pPr>
      <w:r w:rsidRPr="009350FC">
        <w:rPr>
          <w:b/>
        </w:rPr>
        <w:t xml:space="preserve">No: </w:t>
      </w:r>
      <w:r w:rsidRPr="001E3798">
        <w:t xml:space="preserve">negative vote; </w:t>
      </w:r>
      <m:oMath>
        <m:r>
          <w:rPr>
            <w:rFonts w:ascii="Cambria Math" w:hAnsi="Cambria Math"/>
          </w:rPr>
          <m:t>θ</m:t>
        </m:r>
      </m:oMath>
      <w:r w:rsidRPr="001E3798">
        <w:t xml:space="preserve"> = 1 if vote is no.</w:t>
      </w:r>
    </w:p>
    <w:p w:rsidR="00D733D7" w:rsidRPr="009350FC" w:rsidRDefault="00D733D7" w:rsidP="009350FC">
      <w:pPr>
        <w:pStyle w:val="ListParagraph"/>
        <w:numPr>
          <w:ilvl w:val="0"/>
          <w:numId w:val="3"/>
        </w:numPr>
      </w:pPr>
      <w:r w:rsidRPr="009350FC">
        <w:rPr>
          <w:b/>
        </w:rPr>
        <w:t xml:space="preserve">Abstain: </w:t>
      </w:r>
      <w:r w:rsidRPr="001E3798">
        <w:t>indicates stakeholders’ attendance and abstention from a vote.</w:t>
      </w:r>
    </w:p>
    <w:p w:rsidR="00870F36" w:rsidRPr="001E3798" w:rsidRDefault="00870F36" w:rsidP="00870F36">
      <w:pPr>
        <w:pStyle w:val="ListParagraph"/>
        <w:numPr>
          <w:ilvl w:val="0"/>
          <w:numId w:val="3"/>
        </w:numPr>
      </w:pPr>
      <w:r w:rsidRPr="001E3798">
        <w:rPr>
          <w:b/>
        </w:rPr>
        <w:t>Vote</w:t>
      </w:r>
      <w:r w:rsidR="001E7144" w:rsidRPr="001E3798">
        <w:rPr>
          <w:b/>
        </w:rPr>
        <w:t>:</w:t>
      </w:r>
      <w:r w:rsidR="001E7144" w:rsidRPr="001E3798">
        <w:t xml:space="preserve"> </w:t>
      </w:r>
      <w:r w:rsidR="00C7618B" w:rsidRPr="001E3798">
        <w:t>s</w:t>
      </w:r>
      <w:r w:rsidR="001E7144" w:rsidRPr="001E3798">
        <w:t>takeholders can vote in favor of a proposal</w:t>
      </w:r>
      <w:r w:rsidRPr="001E3798">
        <w:t xml:space="preserve"> (Yes)</w:t>
      </w:r>
      <w:r w:rsidR="001E7144" w:rsidRPr="001E3798">
        <w:t>, against a proposal</w:t>
      </w:r>
      <w:r w:rsidRPr="001E3798">
        <w:t xml:space="preserve"> (No)</w:t>
      </w:r>
      <w:r w:rsidR="001E7144" w:rsidRPr="001E3798">
        <w:t xml:space="preserve">, or abstain from voting. </w:t>
      </w:r>
    </w:p>
    <w:p w:rsidR="00870F36" w:rsidRPr="001E3798" w:rsidRDefault="00870F36" w:rsidP="00870F36">
      <w:pPr>
        <w:pStyle w:val="ListParagraph"/>
        <w:numPr>
          <w:ilvl w:val="0"/>
          <w:numId w:val="3"/>
        </w:numPr>
      </w:pPr>
      <w:r w:rsidRPr="001E3798">
        <w:rPr>
          <w:b/>
        </w:rPr>
        <w:t xml:space="preserve">Company Name: </w:t>
      </w:r>
      <w:r w:rsidRPr="001E3798">
        <w:t>name of the MC stakeholder.</w:t>
      </w:r>
    </w:p>
    <w:p w:rsidR="00EA0DC8" w:rsidRPr="001E3798" w:rsidRDefault="00870F36" w:rsidP="00502F9B">
      <w:pPr>
        <w:pStyle w:val="ListParagraph"/>
        <w:numPr>
          <w:ilvl w:val="0"/>
          <w:numId w:val="3"/>
        </w:numPr>
      </w:pPr>
      <w:r w:rsidRPr="001E3798">
        <w:rPr>
          <w:b/>
        </w:rPr>
        <w:t>Company Sector</w:t>
      </w:r>
      <w:r w:rsidR="00EA0DC8" w:rsidRPr="001E3798">
        <w:rPr>
          <w:b/>
        </w:rPr>
        <w:t>:</w:t>
      </w:r>
      <w:r w:rsidRPr="001E3798">
        <w:rPr>
          <w:b/>
        </w:rPr>
        <w:t xml:space="preserve"> </w:t>
      </w:r>
      <w:r w:rsidR="002C2F2A" w:rsidRPr="001E3798">
        <w:t xml:space="preserve">stakeholders of the MC choose a sector affiliation upon membership. </w:t>
      </w:r>
      <w:r w:rsidR="00CC6051" w:rsidRPr="001E3798">
        <w:t xml:space="preserve">The sectors and weights include </w:t>
      </w:r>
      <w:r w:rsidR="00CC6051" w:rsidRPr="001E3798">
        <w:rPr>
          <w:rFonts w:eastAsia="Times New Roman" w:cstheme="minorHAnsi"/>
          <w:color w:val="000000"/>
        </w:rPr>
        <w:t>Generation Owners (21.5%)</w:t>
      </w:r>
      <w:r w:rsidR="00CC6051" w:rsidRPr="001E3798">
        <w:rPr>
          <w:rFonts w:cstheme="minorHAnsi"/>
        </w:rPr>
        <w:t>,</w:t>
      </w:r>
      <w:r w:rsidR="00CC6051" w:rsidRPr="001E3798">
        <w:rPr>
          <w:rFonts w:eastAsia="Times New Roman" w:cstheme="minorHAnsi"/>
          <w:color w:val="000000"/>
        </w:rPr>
        <w:t xml:space="preserve"> Other Suppliers (21.5%)</w:t>
      </w:r>
      <w:r w:rsidR="00CC6051" w:rsidRPr="001E3798">
        <w:rPr>
          <w:rFonts w:cstheme="minorHAnsi"/>
        </w:rPr>
        <w:t xml:space="preserve">, </w:t>
      </w:r>
      <w:r w:rsidR="00CC6051" w:rsidRPr="001E3798">
        <w:rPr>
          <w:rFonts w:eastAsia="Times New Roman" w:cstheme="minorHAnsi"/>
          <w:color w:val="000000"/>
        </w:rPr>
        <w:t>Transmission Owners (20.0%)</w:t>
      </w:r>
      <w:r w:rsidR="00CC6051" w:rsidRPr="001E3798">
        <w:t>, End-Use Consumer (20.0%) and Public Power (17.0%). Additionally, the End-Use Consumer and Public Power sector contain sub-sectors</w:t>
      </w:r>
      <w:r w:rsidR="00C02989">
        <w:t xml:space="preserve"> listed above</w:t>
      </w:r>
      <w:r w:rsidR="00CC6051" w:rsidRPr="001E3798">
        <w:t xml:space="preserve">. </w:t>
      </w:r>
    </w:p>
    <w:p w:rsidR="001E7144" w:rsidRPr="001E3798" w:rsidRDefault="00762D24" w:rsidP="00502F9B">
      <w:pPr>
        <w:pStyle w:val="ListParagraph"/>
        <w:numPr>
          <w:ilvl w:val="0"/>
          <w:numId w:val="3"/>
        </w:numPr>
      </w:pPr>
      <w:r w:rsidRPr="001E3798">
        <w:rPr>
          <w:b/>
        </w:rPr>
        <w:t>Buyer/Seller</w:t>
      </w:r>
      <w:r w:rsidR="00EF7575" w:rsidRPr="001E3798">
        <w:t>: stakeholder designat</w:t>
      </w:r>
      <w:r w:rsidR="00543A25" w:rsidRPr="001E3798">
        <w:t>ion</w:t>
      </w:r>
      <w:r w:rsidR="00EF7575" w:rsidRPr="001E3798">
        <w:t xml:space="preserve"> with respect to the sale of wholesale electricity</w:t>
      </w:r>
      <w:r w:rsidR="00543A25" w:rsidRPr="001E3798">
        <w:t xml:space="preserve"> </w:t>
      </w:r>
      <w:r w:rsidR="002B4BF3" w:rsidRPr="001E3798">
        <w:t>based on author’s grouping of the stakeholder’s generation, transmission and load server operations</w:t>
      </w:r>
      <w:r w:rsidR="00F42CF1" w:rsidRPr="001E3798">
        <w:t>.</w:t>
      </w:r>
      <w:r w:rsidR="002B4BF3" w:rsidRPr="001E3798">
        <w:t xml:space="preserve"> Stakeholder is considered a buyer unless the generation grouping is similar to or greater than its transmission and load server operations.</w:t>
      </w:r>
    </w:p>
    <w:p w:rsidR="001E7144" w:rsidRDefault="00762D24" w:rsidP="001E7144">
      <w:pPr>
        <w:pStyle w:val="ListParagraph"/>
        <w:numPr>
          <w:ilvl w:val="0"/>
          <w:numId w:val="3"/>
        </w:numPr>
      </w:pPr>
      <w:r w:rsidRPr="001E3798">
        <w:rPr>
          <w:b/>
        </w:rPr>
        <w:t>Generation:</w:t>
      </w:r>
      <w:r w:rsidR="001E7144" w:rsidRPr="001E3798">
        <w:t xml:space="preserve"> </w:t>
      </w:r>
      <w:r w:rsidR="00543A25" w:rsidRPr="001E3798">
        <w:t xml:space="preserve">groups based on MW Installed Capacity on </w:t>
      </w:r>
      <w:r w:rsidR="002B4BF3" w:rsidRPr="001E3798">
        <w:t>December 31</w:t>
      </w:r>
      <w:r w:rsidR="00543A25" w:rsidRPr="001E3798">
        <w:t xml:space="preserve">, </w:t>
      </w:r>
      <w:r w:rsidR="002B4BF3" w:rsidRPr="001E3798">
        <w:t>2018</w:t>
      </w:r>
      <w:r w:rsidR="00543A25" w:rsidRPr="001E3798">
        <w:t xml:space="preserve">. Each company is categorized as Small, Medium, or Large based on a snapshot of MW of capacity installed as </w:t>
      </w:r>
      <w:r w:rsidR="004C6103" w:rsidRPr="001E3798">
        <w:t>indicated in the</w:t>
      </w:r>
      <w:r w:rsidR="002B4BF3" w:rsidRPr="001E3798">
        <w:t xml:space="preserve"> EIA 860 - 2018 Report</w:t>
      </w:r>
      <w:r w:rsidR="00543A25" w:rsidRPr="001E3798">
        <w:t>.</w:t>
      </w:r>
      <w:r w:rsidR="004C6103" w:rsidRPr="001E3798">
        <w:t xml:space="preserve"> The author </w:t>
      </w:r>
      <w:r w:rsidR="009144B3" w:rsidRPr="001E3798">
        <w:t>validated the stakeholder/plant mapping using the</w:t>
      </w:r>
      <w:r w:rsidR="004C6103" w:rsidRPr="001E3798">
        <w:t xml:space="preserve"> New York ISO Gold Book. </w:t>
      </w:r>
      <w:r w:rsidR="00870A54" w:rsidRPr="00A11EF0">
        <w:t>The author established the linkage between the EIA 86</w:t>
      </w:r>
      <w:r w:rsidR="00870A54">
        <w:t>0</w:t>
      </w:r>
      <w:r w:rsidR="00870A54" w:rsidRPr="00A11EF0">
        <w:t xml:space="preserve"> - 2018 Report and the stakeholder. </w:t>
      </w:r>
      <w:r w:rsidR="009144B3" w:rsidRPr="001E3798">
        <w:t>The category scale is consistent with the PJM Interconnection stakeholder grouping process.</w:t>
      </w:r>
    </w:p>
    <w:p w:rsidR="00C02989" w:rsidRDefault="00C02989" w:rsidP="00C02989">
      <w:pPr>
        <w:pStyle w:val="ListParagraph"/>
        <w:spacing w:after="0"/>
        <w:ind w:firstLine="720"/>
      </w:pPr>
      <w:r>
        <w:t>Zero:</w:t>
      </w:r>
      <w:r>
        <w:tab/>
      </w:r>
      <w:r>
        <w:tab/>
        <w:t>0</w:t>
      </w:r>
    </w:p>
    <w:p w:rsidR="00C02989" w:rsidRDefault="00C02989" w:rsidP="00C02989">
      <w:pPr>
        <w:pStyle w:val="ListParagraph"/>
        <w:spacing w:after="0"/>
        <w:ind w:firstLine="720"/>
      </w:pPr>
      <w:r>
        <w:lastRenderedPageBreak/>
        <w:t>Small:</w:t>
      </w:r>
      <w:r>
        <w:tab/>
      </w:r>
      <w:r>
        <w:tab/>
        <w:t>&lt;500</w:t>
      </w:r>
    </w:p>
    <w:p w:rsidR="00C02989" w:rsidRDefault="00C02989" w:rsidP="00C02989">
      <w:pPr>
        <w:pStyle w:val="ListParagraph"/>
        <w:spacing w:after="0"/>
        <w:ind w:firstLine="720"/>
      </w:pPr>
      <w:r>
        <w:t xml:space="preserve">Medium:  </w:t>
      </w:r>
      <w:r>
        <w:tab/>
        <w:t>&gt;=500 and &lt;=3,000</w:t>
      </w:r>
    </w:p>
    <w:p w:rsidR="00C02989" w:rsidRPr="001E3798" w:rsidRDefault="00C02989" w:rsidP="00C02989">
      <w:pPr>
        <w:pStyle w:val="ListParagraph"/>
        <w:spacing w:after="0"/>
        <w:ind w:firstLine="720"/>
      </w:pPr>
      <w:r>
        <w:t>Large:</w:t>
      </w:r>
      <w:r>
        <w:tab/>
      </w:r>
      <w:r>
        <w:tab/>
        <w:t>&gt;3,000</w:t>
      </w:r>
    </w:p>
    <w:p w:rsidR="00762D24" w:rsidRDefault="00762D24" w:rsidP="001E7144">
      <w:pPr>
        <w:pStyle w:val="ListParagraph"/>
        <w:numPr>
          <w:ilvl w:val="0"/>
          <w:numId w:val="3"/>
        </w:numPr>
      </w:pPr>
      <w:r w:rsidRPr="001E3798">
        <w:rPr>
          <w:b/>
        </w:rPr>
        <w:t>Transmission:</w:t>
      </w:r>
      <w:r w:rsidRPr="001E3798">
        <w:t xml:space="preserve"> </w:t>
      </w:r>
      <w:r w:rsidR="00EF7575" w:rsidRPr="001E3798">
        <w:t xml:space="preserve">groups based on Revenue Requirements ($MM) </w:t>
      </w:r>
      <w:r w:rsidR="002B4BF3" w:rsidRPr="001E3798">
        <w:t xml:space="preserve">on December 31, 2018. </w:t>
      </w:r>
      <w:r w:rsidR="00EF7575" w:rsidRPr="001E3798">
        <w:t>Each company is categorized as Small, M</w:t>
      </w:r>
      <w:r w:rsidR="00EF7575" w:rsidRPr="00870A54">
        <w:t xml:space="preserve">edium, or Large based on </w:t>
      </w:r>
      <w:r w:rsidR="009144B3" w:rsidRPr="00870A54">
        <w:t xml:space="preserve">the annual expenses found </w:t>
      </w:r>
      <w:r w:rsidR="00870A54" w:rsidRPr="00870A54">
        <w:t xml:space="preserve">in financial statements of the company. </w:t>
      </w:r>
      <w:r w:rsidR="009144B3" w:rsidRPr="001E3798">
        <w:t>The category scale is consistent with the PJM Interconnection stakeholder grouping process.</w:t>
      </w:r>
    </w:p>
    <w:p w:rsidR="00C02989" w:rsidRDefault="00C02989" w:rsidP="00C02989">
      <w:pPr>
        <w:pStyle w:val="ListParagraph"/>
        <w:spacing w:after="0"/>
        <w:ind w:firstLine="720"/>
      </w:pPr>
      <w:r>
        <w:t>Zero:</w:t>
      </w:r>
      <w:r>
        <w:tab/>
      </w:r>
      <w:r>
        <w:tab/>
        <w:t>0</w:t>
      </w:r>
    </w:p>
    <w:p w:rsidR="00C02989" w:rsidRDefault="00C02989" w:rsidP="00C02989">
      <w:pPr>
        <w:pStyle w:val="ListParagraph"/>
        <w:spacing w:after="0"/>
        <w:ind w:firstLine="720"/>
      </w:pPr>
      <w:r>
        <w:t>Small:</w:t>
      </w:r>
      <w:r>
        <w:tab/>
      </w:r>
      <w:r>
        <w:tab/>
        <w:t>&lt;50</w:t>
      </w:r>
    </w:p>
    <w:p w:rsidR="00C02989" w:rsidRDefault="00C02989" w:rsidP="00C02989">
      <w:pPr>
        <w:pStyle w:val="ListParagraph"/>
        <w:spacing w:after="0"/>
        <w:ind w:firstLine="720"/>
      </w:pPr>
      <w:r>
        <w:t xml:space="preserve">Medium:  </w:t>
      </w:r>
      <w:r>
        <w:tab/>
        <w:t>&gt;=50 and &lt;=150</w:t>
      </w:r>
      <w:r>
        <w:tab/>
      </w:r>
    </w:p>
    <w:p w:rsidR="00C02989" w:rsidRPr="001E3798" w:rsidRDefault="00C02989" w:rsidP="00C02989">
      <w:pPr>
        <w:pStyle w:val="ListParagraph"/>
        <w:spacing w:after="0"/>
        <w:ind w:firstLine="720"/>
      </w:pPr>
      <w:r>
        <w:t>Large:</w:t>
      </w:r>
      <w:r>
        <w:tab/>
      </w:r>
      <w:r>
        <w:tab/>
        <w:t>&gt;150</w:t>
      </w:r>
    </w:p>
    <w:p w:rsidR="00762D24" w:rsidRDefault="00762D24" w:rsidP="001E7144">
      <w:pPr>
        <w:pStyle w:val="ListParagraph"/>
        <w:numPr>
          <w:ilvl w:val="0"/>
          <w:numId w:val="3"/>
        </w:numPr>
      </w:pPr>
      <w:r w:rsidRPr="001E3798">
        <w:rPr>
          <w:b/>
        </w:rPr>
        <w:t>Load Server:</w:t>
      </w:r>
      <w:r w:rsidRPr="001E3798">
        <w:t xml:space="preserve"> </w:t>
      </w:r>
      <w:r w:rsidR="00EF7575" w:rsidRPr="001E3798">
        <w:t>groups based on Avg Real-Time Metered Load (MW) over all the hours of the year. Each company is categorized as Small, Medium, or Large based on the average real-time metered load served over all hours of the year</w:t>
      </w:r>
      <w:r w:rsidR="001E3798" w:rsidRPr="001E3798">
        <w:t xml:space="preserve"> as indicated in the EIA 861 - 2018 Report</w:t>
      </w:r>
      <w:r w:rsidR="00EF7575" w:rsidRPr="001E3798">
        <w:t>.</w:t>
      </w:r>
      <w:r w:rsidR="00F42CF1" w:rsidRPr="001E3798">
        <w:t xml:space="preserve"> </w:t>
      </w:r>
      <w:r w:rsidR="001E3798" w:rsidRPr="001E3798">
        <w:t xml:space="preserve">The EIA 860 – 2018 Report quantifies Sales (Megawatthours). The Avg Real-Time Metered Load (MW) over all the hours of the year is calculated by dividing the Sales (Megawatthours) by 8,760 hours. </w:t>
      </w:r>
      <w:r w:rsidR="00870A54" w:rsidRPr="00A11EF0">
        <w:t>The author established the linkage between the EIA 86</w:t>
      </w:r>
      <w:r w:rsidR="00870A54">
        <w:t>1</w:t>
      </w:r>
      <w:r w:rsidR="00870A54" w:rsidRPr="00A11EF0">
        <w:t xml:space="preserve"> - 2018 Report and the stakeholder. </w:t>
      </w:r>
      <w:r w:rsidR="001E3798" w:rsidRPr="001E3798">
        <w:t>The category scale is consistent with the PJM Interconnection stakeholder grouping process.</w:t>
      </w:r>
    </w:p>
    <w:p w:rsidR="00195C18" w:rsidRDefault="00195C18" w:rsidP="00195C18">
      <w:pPr>
        <w:pStyle w:val="ListParagraph"/>
        <w:spacing w:after="0"/>
        <w:ind w:firstLine="720"/>
      </w:pPr>
      <w:r>
        <w:t xml:space="preserve">Zero: </w:t>
      </w:r>
      <w:r>
        <w:tab/>
      </w:r>
      <w:r>
        <w:tab/>
        <w:t>0</w:t>
      </w:r>
    </w:p>
    <w:p w:rsidR="00195C18" w:rsidRDefault="00195C18" w:rsidP="00195C18">
      <w:pPr>
        <w:pStyle w:val="ListParagraph"/>
        <w:spacing w:after="0"/>
        <w:ind w:firstLine="720"/>
      </w:pPr>
      <w:r>
        <w:t>Small:</w:t>
      </w:r>
      <w:r>
        <w:tab/>
      </w:r>
      <w:r>
        <w:tab/>
        <w:t>&lt;1,000</w:t>
      </w:r>
    </w:p>
    <w:p w:rsidR="00195C18" w:rsidRDefault="00195C18" w:rsidP="00195C18">
      <w:pPr>
        <w:pStyle w:val="ListParagraph"/>
        <w:spacing w:after="0"/>
        <w:ind w:firstLine="720"/>
      </w:pPr>
      <w:r>
        <w:t xml:space="preserve">Medium: </w:t>
      </w:r>
      <w:r>
        <w:tab/>
        <w:t xml:space="preserve"> &gt;=1,000 and &lt;=5,000</w:t>
      </w:r>
    </w:p>
    <w:p w:rsidR="00195C18" w:rsidRDefault="00195C18" w:rsidP="00195C18">
      <w:pPr>
        <w:pStyle w:val="ListParagraph"/>
        <w:spacing w:after="0"/>
        <w:ind w:firstLine="720"/>
      </w:pPr>
      <w:r>
        <w:t>Large:</w:t>
      </w:r>
      <w:r>
        <w:tab/>
      </w:r>
      <w:r>
        <w:tab/>
        <w:t>&gt;5,000</w:t>
      </w:r>
    </w:p>
    <w:p w:rsidR="00195C18" w:rsidRPr="001E3798" w:rsidRDefault="00195C18" w:rsidP="00195C18">
      <w:pPr>
        <w:pStyle w:val="ListParagraph"/>
      </w:pPr>
    </w:p>
    <w:p w:rsidR="001E7144" w:rsidRDefault="001E7144" w:rsidP="001E7144">
      <w:r w:rsidRPr="00F42CF1">
        <w:rPr>
          <w:b/>
        </w:rPr>
        <w:t>Keywords:</w:t>
      </w:r>
      <w:r>
        <w:t xml:space="preserve"> RTO; Regional; Transmission; Organization; Governance; RTOGov; </w:t>
      </w:r>
      <w:r w:rsidR="001E3798">
        <w:t>New York</w:t>
      </w:r>
      <w:r w:rsidR="00340C4D">
        <w:t xml:space="preserve"> ISO</w:t>
      </w:r>
      <w:r>
        <w:t>; M</w:t>
      </w:r>
      <w:r w:rsidR="001E3798">
        <w:t>anagement</w:t>
      </w:r>
      <w:r>
        <w:t>; Committee; Vote; Voting</w:t>
      </w:r>
    </w:p>
    <w:p w:rsidR="001E7144" w:rsidRDefault="001E7144" w:rsidP="001E7144">
      <w:r w:rsidRPr="00F42CF1">
        <w:rPr>
          <w:b/>
        </w:rPr>
        <w:t>Formats:</w:t>
      </w:r>
      <w:r>
        <w:t xml:space="preserve"> .xlsx</w:t>
      </w:r>
    </w:p>
    <w:p w:rsidR="001E7144" w:rsidRDefault="001E7144" w:rsidP="001E7144">
      <w:r w:rsidRPr="00F42CF1">
        <w:rPr>
          <w:b/>
        </w:rPr>
        <w:t>Contact:</w:t>
      </w:r>
      <w:r>
        <w:t xml:space="preserve"> Dr. Seth Blumsack: blumsack@psu.edu</w:t>
      </w:r>
    </w:p>
    <w:p w:rsidR="001E7144" w:rsidRDefault="001E7144" w:rsidP="001E7144">
      <w:r w:rsidRPr="00F42CF1">
        <w:rPr>
          <w:b/>
        </w:rPr>
        <w:t>Dates of Collection:</w:t>
      </w:r>
      <w:r>
        <w:t xml:space="preserve"> 2010-201</w:t>
      </w:r>
      <w:r w:rsidR="001E3798">
        <w:t>8</w:t>
      </w:r>
    </w:p>
    <w:p w:rsidR="00502F9B" w:rsidRDefault="001E7144" w:rsidP="000666F8">
      <w:r w:rsidRPr="00F42CF1">
        <w:rPr>
          <w:b/>
        </w:rPr>
        <w:t>Funding Agency:</w:t>
      </w:r>
      <w:r>
        <w:t xml:space="preserve"> Alfred P. Sloan Foundation</w:t>
      </w:r>
    </w:p>
    <w:sectPr w:rsidR="00502F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83AEF"/>
    <w:multiLevelType w:val="hybridMultilevel"/>
    <w:tmpl w:val="1CF2DD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6917E5"/>
    <w:multiLevelType w:val="hybridMultilevel"/>
    <w:tmpl w:val="2CE0E09A"/>
    <w:lvl w:ilvl="0" w:tplc="8BEA0AF0">
      <w:start w:val="1"/>
      <w:numFmt w:val="lowerLetter"/>
      <w:lvlText w:val="%1."/>
      <w:lvlJc w:val="left"/>
      <w:pPr>
        <w:ind w:left="1080" w:hanging="360"/>
      </w:pPr>
      <w:rPr>
        <w:rFonts w:eastAsia="Times New Roman" w:cstheme="minorHAns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A339F6"/>
    <w:multiLevelType w:val="hybridMultilevel"/>
    <w:tmpl w:val="1CF2DD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E5E90"/>
    <w:multiLevelType w:val="hybridMultilevel"/>
    <w:tmpl w:val="FA52B1DC"/>
    <w:lvl w:ilvl="0" w:tplc="8BEA0AF0">
      <w:start w:val="1"/>
      <w:numFmt w:val="lowerLetter"/>
      <w:lvlText w:val="%1."/>
      <w:lvlJc w:val="left"/>
      <w:pPr>
        <w:ind w:left="1080" w:hanging="360"/>
      </w:pPr>
      <w:rPr>
        <w:rFonts w:eastAsia="Times New Roman" w:cstheme="minorHAnsi"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F9D74D8"/>
    <w:multiLevelType w:val="hybridMultilevel"/>
    <w:tmpl w:val="2A7C2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144"/>
    <w:rsid w:val="000244C8"/>
    <w:rsid w:val="000666F8"/>
    <w:rsid w:val="00081086"/>
    <w:rsid w:val="000B18AC"/>
    <w:rsid w:val="000E44E8"/>
    <w:rsid w:val="001120AB"/>
    <w:rsid w:val="001203A7"/>
    <w:rsid w:val="0013638C"/>
    <w:rsid w:val="001868DC"/>
    <w:rsid w:val="00192F10"/>
    <w:rsid w:val="00195C18"/>
    <w:rsid w:val="00197B22"/>
    <w:rsid w:val="001C25FB"/>
    <w:rsid w:val="001E3798"/>
    <w:rsid w:val="001E7144"/>
    <w:rsid w:val="001E7C6B"/>
    <w:rsid w:val="00206621"/>
    <w:rsid w:val="0022172E"/>
    <w:rsid w:val="00295062"/>
    <w:rsid w:val="002B4BF3"/>
    <w:rsid w:val="002B7D68"/>
    <w:rsid w:val="002C0797"/>
    <w:rsid w:val="002C2F2A"/>
    <w:rsid w:val="002D5C1B"/>
    <w:rsid w:val="002E0C32"/>
    <w:rsid w:val="002E1C4D"/>
    <w:rsid w:val="002E2B9C"/>
    <w:rsid w:val="00313E6D"/>
    <w:rsid w:val="00337AC8"/>
    <w:rsid w:val="00340C4D"/>
    <w:rsid w:val="003F7165"/>
    <w:rsid w:val="00463E1B"/>
    <w:rsid w:val="00496987"/>
    <w:rsid w:val="004C6103"/>
    <w:rsid w:val="004D193F"/>
    <w:rsid w:val="004F3842"/>
    <w:rsid w:val="004F64FC"/>
    <w:rsid w:val="00502F9B"/>
    <w:rsid w:val="00503DCA"/>
    <w:rsid w:val="00517563"/>
    <w:rsid w:val="0054334B"/>
    <w:rsid w:val="00543A25"/>
    <w:rsid w:val="005958CF"/>
    <w:rsid w:val="005B546C"/>
    <w:rsid w:val="005E7EBD"/>
    <w:rsid w:val="00684133"/>
    <w:rsid w:val="0072443D"/>
    <w:rsid w:val="00756052"/>
    <w:rsid w:val="00762D24"/>
    <w:rsid w:val="00832AF0"/>
    <w:rsid w:val="00870A54"/>
    <w:rsid w:val="00870F36"/>
    <w:rsid w:val="008B4A94"/>
    <w:rsid w:val="008D1FAB"/>
    <w:rsid w:val="009144B3"/>
    <w:rsid w:val="009303A7"/>
    <w:rsid w:val="009350FC"/>
    <w:rsid w:val="0097017A"/>
    <w:rsid w:val="009736B6"/>
    <w:rsid w:val="009B1D8C"/>
    <w:rsid w:val="009F1DA4"/>
    <w:rsid w:val="00A6485C"/>
    <w:rsid w:val="00AD6AE0"/>
    <w:rsid w:val="00BA47B5"/>
    <w:rsid w:val="00BB6F10"/>
    <w:rsid w:val="00BC2514"/>
    <w:rsid w:val="00BD023A"/>
    <w:rsid w:val="00BE74A6"/>
    <w:rsid w:val="00BE7955"/>
    <w:rsid w:val="00BF33C6"/>
    <w:rsid w:val="00C02989"/>
    <w:rsid w:val="00C64EAA"/>
    <w:rsid w:val="00C7618B"/>
    <w:rsid w:val="00C87CA3"/>
    <w:rsid w:val="00CC6051"/>
    <w:rsid w:val="00D159B1"/>
    <w:rsid w:val="00D35F90"/>
    <w:rsid w:val="00D733D7"/>
    <w:rsid w:val="00DB6520"/>
    <w:rsid w:val="00DD7D08"/>
    <w:rsid w:val="00DF280C"/>
    <w:rsid w:val="00E05FEE"/>
    <w:rsid w:val="00E13AFB"/>
    <w:rsid w:val="00E333EC"/>
    <w:rsid w:val="00E60EAE"/>
    <w:rsid w:val="00EA0DC8"/>
    <w:rsid w:val="00ED4E6B"/>
    <w:rsid w:val="00EE083A"/>
    <w:rsid w:val="00EF7575"/>
    <w:rsid w:val="00F13BD7"/>
    <w:rsid w:val="00F42CF1"/>
    <w:rsid w:val="00F87F09"/>
    <w:rsid w:val="00F97D57"/>
    <w:rsid w:val="00FA5820"/>
    <w:rsid w:val="00FE7FDA"/>
    <w:rsid w:val="00FF1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D5F5E3"/>
  <w15:chartTrackingRefBased/>
  <w15:docId w15:val="{C67FDC11-4550-4D3B-8114-5AB5E62A4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144"/>
    <w:pPr>
      <w:ind w:left="720"/>
      <w:contextualSpacing/>
    </w:pPr>
  </w:style>
  <w:style w:type="character" w:styleId="Hyperlink">
    <w:name w:val="Hyperlink"/>
    <w:basedOn w:val="DefaultParagraphFont"/>
    <w:uiPriority w:val="99"/>
    <w:unhideWhenUsed/>
    <w:rsid w:val="00FA5820"/>
    <w:rPr>
      <w:color w:val="0563C1" w:themeColor="hyperlink"/>
      <w:u w:val="single"/>
    </w:rPr>
  </w:style>
  <w:style w:type="character" w:styleId="UnresolvedMention">
    <w:name w:val="Unresolved Mention"/>
    <w:basedOn w:val="DefaultParagraphFont"/>
    <w:uiPriority w:val="99"/>
    <w:semiHidden/>
    <w:unhideWhenUsed/>
    <w:rsid w:val="00FA5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3566119">
      <w:bodyDiv w:val="1"/>
      <w:marLeft w:val="0"/>
      <w:marRight w:val="0"/>
      <w:marTop w:val="0"/>
      <w:marBottom w:val="0"/>
      <w:divBdr>
        <w:top w:val="none" w:sz="0" w:space="0" w:color="auto"/>
        <w:left w:val="none" w:sz="0" w:space="0" w:color="auto"/>
        <w:bottom w:val="none" w:sz="0" w:space="0" w:color="auto"/>
        <w:right w:val="none" w:sz="0" w:space="0" w:color="auto"/>
      </w:divBdr>
    </w:div>
    <w:div w:id="601887477">
      <w:bodyDiv w:val="1"/>
      <w:marLeft w:val="0"/>
      <w:marRight w:val="0"/>
      <w:marTop w:val="0"/>
      <w:marBottom w:val="0"/>
      <w:divBdr>
        <w:top w:val="none" w:sz="0" w:space="0" w:color="auto"/>
        <w:left w:val="none" w:sz="0" w:space="0" w:color="auto"/>
        <w:bottom w:val="none" w:sz="0" w:space="0" w:color="auto"/>
        <w:right w:val="none" w:sz="0" w:space="0" w:color="auto"/>
      </w:divBdr>
    </w:div>
    <w:div w:id="1192450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yiso.com/management-committee-m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5</Pages>
  <Words>1972</Words>
  <Characters>11245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Teti, Zachary Francis</dc:creator>
  <cp:keywords/>
  <dc:description/>
  <cp:lastModifiedBy>Teti, Zachary Francis</cp:lastModifiedBy>
  <cp:revision>7</cp:revision>
  <dcterms:created xsi:type="dcterms:W3CDTF">2020-10-16T14:42:00Z</dcterms:created>
  <dcterms:modified xsi:type="dcterms:W3CDTF">2020-11-05T02:13:00Z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20770614</vt:i4>
  </property>
</Properties>
</file>